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0" w:name="quanwen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1" w:name="_GoBack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7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bookmarkEnd w:id="1"/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Pjv5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</w:rPr>
        <w:t>关于对</w:t>
      </w:r>
      <w:r>
        <w:rPr>
          <w:rFonts w:hint="eastAsia" w:ascii="方正小标宋简体" w:hAnsi="方正小标宋简体" w:eastAsia="方正小标宋简体" w:cs="方正小标宋简体"/>
          <w:spacing w:val="-6"/>
          <w:lang w:eastAsia="zh-CN"/>
        </w:rPr>
        <w:t>李昌民</w:t>
      </w:r>
      <w:r>
        <w:rPr>
          <w:rFonts w:hint="eastAsia" w:ascii="方正小标宋简体" w:hAnsi="方正小标宋简体" w:eastAsia="方正小标宋简体" w:cs="方正小标宋简体"/>
          <w:sz w:val="44"/>
        </w:rPr>
        <w:t>采取出具警示函措施的决定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textAlignment w:val="auto"/>
        <w:rPr>
          <w:rFonts w:hint="eastAsia" w:ascii="仿宋_GB2312" w:hAnsi="仿宋_GB2312" w:eastAsia="仿宋_GB2312" w:cs="仿宋"/>
          <w:kern w:val="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"/>
          <w:kern w:val="0"/>
          <w:sz w:val="32"/>
          <w:szCs w:val="30"/>
          <w:lang w:val="en-US" w:eastAsia="zh-CN"/>
        </w:rPr>
        <w:t>李昌民：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lang w:val="en-US" w:eastAsia="zh-CN" w:bidi="ar-SA"/>
        </w:rPr>
        <w:t>经查，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广州雪球投资管理有限公司</w:t>
      </w:r>
      <w:r>
        <w:rPr>
          <w:rFonts w:hint="eastAsia" w:ascii="仿宋_GB2312" w:hAnsi="仿宋_GB2312" w:eastAsia="仿宋_GB2312" w:cs="仿宋"/>
          <w:kern w:val="0"/>
          <w:sz w:val="32"/>
          <w:szCs w:val="30"/>
          <w:lang w:val="en-US" w:eastAsia="zh-CN"/>
        </w:rPr>
        <w:t>（以下简称广州雪球）</w:t>
      </w:r>
      <w:r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lang w:val="en-US" w:eastAsia="zh-CN" w:bidi="ar-SA"/>
        </w:rPr>
        <w:t>在开展私募投资基金管理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业务过程中</w:t>
      </w:r>
      <w:r>
        <w:rPr>
          <w:rFonts w:hint="eastAsia" w:ascii="仿宋_GB2312" w:hAnsi="宋体" w:eastAsia="仿宋_GB2312" w:cs="Times New Roman"/>
          <w:spacing w:val="0"/>
          <w:kern w:val="0"/>
          <w:sz w:val="32"/>
          <w:szCs w:val="32"/>
          <w:lang w:val="en-US" w:eastAsia="zh-CN" w:bidi="ar-SA"/>
        </w:rPr>
        <w:t>，存在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lang w:eastAsia="zh-CN"/>
        </w:rPr>
        <w:t>部分产品</w:t>
      </w:r>
      <w:r>
        <w:rPr>
          <w:rFonts w:hint="eastAsia" w:ascii="仿宋_GB2312" w:hAnsi="仿宋_GB2312" w:eastAsia="仿宋_GB2312" w:cs="Times New Roman"/>
          <w:b w:val="0"/>
          <w:bCs w:val="0"/>
          <w:color w:val="000000"/>
          <w:kern w:val="2"/>
          <w:sz w:val="32"/>
          <w:szCs w:val="24"/>
          <w:lang w:val="en-US" w:eastAsia="zh-CN" w:bidi="ar-SA"/>
        </w:rPr>
        <w:t>未按合同约定进行投资运作的情形</w:t>
      </w:r>
      <w:r>
        <w:rPr>
          <w:rFonts w:hint="eastAsia" w:ascii="仿宋_GB2312" w:hAnsi="宋体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上述行为违反了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4"/>
          <w:highlight w:val="none"/>
          <w:lang w:val="en-US" w:eastAsia="zh-CN" w:bidi="ar-SA"/>
        </w:rPr>
        <w:t>《私募投资基金监督管理暂行办法》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highlight w:val="none"/>
          <w:lang w:eastAsia="zh-CN"/>
        </w:rPr>
        <w:t>（证监会令第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highlight w:val="none"/>
          <w:lang w:val="en-US" w:eastAsia="zh-CN"/>
        </w:rPr>
        <w:t>105号，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highlight w:val="none"/>
          <w:lang w:eastAsia="zh-CN"/>
        </w:rPr>
        <w:t>以</w:t>
      </w:r>
      <w:r>
        <w:rPr>
          <w:rFonts w:hint="eastAsia" w:ascii="仿宋_GB2312" w:hAnsi="宋体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下简称《私募办法》）第二十三条第九项</w:t>
      </w:r>
      <w:r>
        <w:rPr>
          <w:rFonts w:hint="eastAsia" w:ascii="仿宋_GB2312" w:hAnsi="宋体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、《关于加强私募投资基金监管的若干规定》（证监会公告〔2020〕71号，以下简称《若干规定》）第九条第一款第八项的规定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lang w:val="en-US" w:eastAsia="zh-CN"/>
        </w:rPr>
        <w:t>你作为</w:t>
      </w:r>
      <w:r>
        <w:rPr>
          <w:rFonts w:hint="eastAsia" w:ascii="仿宋_GB2312" w:hAnsi="仿宋_GB2312" w:eastAsia="仿宋_GB2312" w:cs="仿宋"/>
          <w:kern w:val="0"/>
          <w:sz w:val="32"/>
          <w:szCs w:val="30"/>
          <w:lang w:val="en-US" w:eastAsia="zh-CN"/>
        </w:rPr>
        <w:t>广州雪球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lang w:val="en-US" w:eastAsia="zh-CN"/>
        </w:rPr>
        <w:t>投资经理、董事长、法定代表人，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"/>
          <w:kern w:val="0"/>
          <w:sz w:val="32"/>
          <w:szCs w:val="30"/>
          <w:lang w:val="en-US" w:eastAsia="zh-CN"/>
        </w:rPr>
        <w:t>广州雪球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违规行为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负有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主要责任</w:t>
      </w:r>
      <w:r>
        <w:rPr>
          <w:rFonts w:hint="eastAsia" w:ascii="仿宋_GB2312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根据</w:t>
      </w:r>
      <w:r>
        <w:rPr>
          <w:rFonts w:hint="eastAsia" w:ascii="仿宋_GB2312" w:hAnsi="宋体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《私募办法》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第三十三条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以及《若干规定》第十三条第一款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等规定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  <w:lang w:eastAsia="zh-CN"/>
        </w:rPr>
        <w:t>我局决定对你采取出具警示函的行政监管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措施。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如果对本监督管理措施不服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,你</w:t>
      </w:r>
      <w:r>
        <w:rPr>
          <w:rFonts w:hint="eastAsia" w:ascii="仿宋_GB2312" w:hAnsi="仿宋_GB2312" w:eastAsia="仿宋_GB2312" w:cs="仿宋_GB2312"/>
          <w:kern w:val="0"/>
          <w:sz w:val="32"/>
        </w:rPr>
        <w:t>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</w:rPr>
        <w:t>也可以在收到本决定书之日起6个月内向有管辖权的人民法院提起诉讼。复议与诉讼期间，上述监督管理措施不停止执行。</w:t>
      </w:r>
    </w:p>
    <w:p>
      <w:pPr>
        <w:widowControl w:val="0"/>
        <w:overflowPunct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2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/>
        </w:rPr>
        <w:t>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24"/>
          <w:szCs w:val="16"/>
        </w:rPr>
      </w:pPr>
    </w:p>
    <w:p>
      <w:pPr>
        <w:snapToGrid w:val="0"/>
        <w:spacing w:line="240" w:lineRule="auto"/>
        <w:ind w:right="28"/>
        <w:jc w:val="left"/>
        <w:rPr>
          <w:rFonts w:hint="eastAsia" w:ascii="黑体" w:eastAsia="黑体"/>
          <w:spacing w:val="8"/>
          <w:sz w:val="24"/>
          <w:szCs w:val="24"/>
        </w:rPr>
      </w:pPr>
    </w:p>
    <w:p>
      <w:pPr>
        <w:pBdr>
          <w:top w:val="single" w:color="auto" w:sz="8" w:space="6"/>
        </w:pBdr>
        <w:adjustRightInd w:val="0"/>
        <w:snapToGrid w:val="0"/>
        <w:spacing w:after="109" w:afterLines="35" w:line="240" w:lineRule="auto"/>
        <w:ind w:firstLine="302" w:firstLineChars="100"/>
        <w:rPr>
          <w:rFonts w:ascii="长城仿宋" w:eastAsia="长城仿宋"/>
          <w:spacing w:val="11"/>
          <w:sz w:val="28"/>
        </w:rPr>
      </w:pPr>
      <w:r>
        <w:rPr>
          <w:rFonts w:hint="eastAsia" w:ascii="仿宋_GB2312" w:eastAsia="仿宋_GB2312"/>
          <w:spacing w:val="11"/>
          <w:sz w:val="28"/>
        </w:rPr>
        <w:t>抄送：证监会市场二司、法治司；中国证券投资基金业协会。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pacing w:val="8"/>
          <w:sz w:val="28"/>
        </w:rPr>
        <w:t xml:space="preserve">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  </w:t>
      </w:r>
      <w:r>
        <w:rPr>
          <w:rFonts w:hint="eastAsia" w:ascii="仿宋_GB2312" w:eastAsia="仿宋_GB2312"/>
          <w:spacing w:val="8"/>
          <w:sz w:val="28"/>
          <w:lang w:eastAsia="zh-CN"/>
        </w:rPr>
        <w:t>20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25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7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29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eastAsia="仿宋_GB2312"/>
          <w:spacing w:val="8"/>
          <w:sz w:val="2"/>
          <w:szCs w:val="2"/>
          <w:lang w:val="en-US" w:eastAsia="zh-CN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仿宋">
    <w:altName w:val="方正仿宋_GBK"/>
    <w:panose1 w:val="02010609000101010101"/>
    <w:charset w:val="00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7E85E"/>
    <w:rsid w:val="1E7B12BB"/>
    <w:rsid w:val="1F7D70CA"/>
    <w:rsid w:val="28BE4C45"/>
    <w:rsid w:val="35BD0302"/>
    <w:rsid w:val="37DBA340"/>
    <w:rsid w:val="3DFBDCD6"/>
    <w:rsid w:val="3DFF8F82"/>
    <w:rsid w:val="3EEC38C3"/>
    <w:rsid w:val="5EFF22E1"/>
    <w:rsid w:val="5FB686AD"/>
    <w:rsid w:val="5FFFE792"/>
    <w:rsid w:val="6DDBBFCF"/>
    <w:rsid w:val="75FBC8AD"/>
    <w:rsid w:val="7A3F3DB6"/>
    <w:rsid w:val="7B698995"/>
    <w:rsid w:val="7F24B5E9"/>
    <w:rsid w:val="7F3E6EC7"/>
    <w:rsid w:val="7F5FF3FB"/>
    <w:rsid w:val="7F6F46A4"/>
    <w:rsid w:val="7FEFFED9"/>
    <w:rsid w:val="9EFDE1B8"/>
    <w:rsid w:val="BCEDADB4"/>
    <w:rsid w:val="C6D3E0BA"/>
    <w:rsid w:val="CAFFF185"/>
    <w:rsid w:val="D5D7FBC9"/>
    <w:rsid w:val="D7FE39B1"/>
    <w:rsid w:val="F1FAC414"/>
    <w:rsid w:val="F2FF2E4D"/>
    <w:rsid w:val="F4BE1B1D"/>
    <w:rsid w:val="F7FF3387"/>
    <w:rsid w:val="F9F7E85E"/>
    <w:rsid w:val="FBEF9DF7"/>
    <w:rsid w:val="FEBB7857"/>
    <w:rsid w:val="FF7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2025-07-24T06:21:00Z</dcterms:created>
  <dc:creator>李君达</dc:creator>
  <cp:lastModifiedBy>于晓雷</cp:lastModifiedBy>
  <cp:lastPrinted>2025-07-26T03:10:00Z</cp:lastPrinted>
  <dcterms:modified xsi:type="dcterms:W3CDTF">2025-09-08T17:59:44Z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2C033B5DB8F1C93BEF0690687D5C8373</vt:lpwstr>
  </property>
</Properties>
</file>