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2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7</w:t>
      </w:r>
      <w:r>
        <w:rPr>
          <w:rFonts w:hint="default" w:ascii="仿宋_GB2312" w:eastAsia="仿宋_GB2312" w:cs="Times New Roman"/>
          <w:color w:val="000000"/>
          <w:spacing w:val="12"/>
          <w:sz w:val="28"/>
          <w:szCs w:val="20"/>
          <w:lang w:val="en-US"/>
        </w:rPr>
        <w:t>7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p>
      <w:pPr>
        <w:snapToGrid w:val="0"/>
        <w:jc w:val="center"/>
        <w:rPr>
          <w:rFonts w:hint="eastAsia" w:ascii="仿宋_GB2312" w:hAnsi="仿宋_GB2312" w:eastAsia="仿宋_GB2312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Cs w:val="44"/>
          <w:lang w:eastAsia="zh-CN"/>
        </w:rPr>
      </w:pPr>
      <w:bookmarkStart w:id="1" w:name="_GoBack"/>
      <w:bookmarkStart w:id="0" w:name="quanwen"/>
      <w:r>
        <w:rPr>
          <w:rFonts w:hint="eastAsia" w:ascii="方正小标宋简体" w:hAnsi="方正小标宋简体" w:eastAsia="方正小标宋简体" w:cs="方正小标宋简体"/>
          <w:spacing w:val="0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pacing w:val="0"/>
          <w:szCs w:val="44"/>
          <w:lang w:eastAsia="zh-CN"/>
        </w:rPr>
        <w:t>对广州雪球投资管理有限公司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0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Cs w:val="44"/>
          <w:lang w:eastAsia="zh-CN"/>
        </w:rPr>
        <w:t>采取出具警示函</w:t>
      </w:r>
      <w:r>
        <w:rPr>
          <w:rFonts w:hint="eastAsia" w:ascii="方正小标宋简体" w:hAnsi="方正小标宋简体" w:eastAsia="方正小标宋简体" w:cs="方正小标宋简体"/>
          <w:spacing w:val="0"/>
          <w:szCs w:val="44"/>
        </w:rPr>
        <w:t>措施的决定</w:t>
      </w:r>
    </w:p>
    <w:bookmarkEnd w:id="1"/>
    <w:p>
      <w:pPr>
        <w:snapToGrid w:val="0"/>
        <w:spacing w:beforeLines="0" w:afterLines="0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lang w:eastAsia="zh-CN"/>
        </w:rPr>
        <w:t>广州雪球投资管理有限公司</w:t>
      </w:r>
      <w:r>
        <w:rPr>
          <w:rFonts w:hint="eastAsia" w:ascii="仿宋_GB2312" w:hAnsi="仿宋_GB2312" w:eastAsia="仿宋_GB2312" w:cs="仿宋_GB2312"/>
          <w:sz w:val="32"/>
          <w:lang w:val="en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宋体" w:eastAsia="仿宋_GB2312"/>
          <w:color w:val="auto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经查，你公司在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开展私募投资基金管理业务过程中，存在</w:t>
      </w:r>
      <w:r>
        <w:rPr>
          <w:rFonts w:hint="eastAsia" w:ascii="仿宋_GB2312" w:hAnsi="宋体" w:eastAsia="仿宋_GB2312" w:cs="Times New Roman"/>
          <w:b w:val="0"/>
          <w:bCs w:val="0"/>
          <w:color w:val="000000"/>
          <w:spacing w:val="0"/>
          <w:sz w:val="32"/>
          <w:szCs w:val="32"/>
          <w:highlight w:val="none"/>
          <w:lang w:eastAsia="zh-CN"/>
        </w:rPr>
        <w:t>部分产品</w:t>
      </w:r>
      <w:r>
        <w:rPr>
          <w:rFonts w:hint="eastAsia" w:ascii="仿宋_GB2312" w:hAnsi="仿宋_GB2312" w:eastAsia="仿宋_GB2312" w:cs="Times New Roman"/>
          <w:b w:val="0"/>
          <w:bCs w:val="0"/>
          <w:color w:val="000000"/>
          <w:kern w:val="2"/>
          <w:sz w:val="32"/>
          <w:szCs w:val="24"/>
          <w:lang w:val="en-US" w:eastAsia="zh-CN" w:bidi="ar-SA"/>
        </w:rPr>
        <w:t>未按合同约定进行投资运作的情形</w:t>
      </w:r>
      <w:r>
        <w:rPr>
          <w:rFonts w:hint="eastAsia" w:ascii="仿宋_GB2312" w:hAnsi="宋体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0"/>
          <w:highlight w:val="none"/>
          <w:lang w:val="en-US" w:eastAsia="zh-CN"/>
        </w:rPr>
        <w:t>上述行为违反了</w:t>
      </w:r>
      <w:r>
        <w:rPr>
          <w:rFonts w:hint="eastAsia" w:ascii="仿宋_GB2312" w:hAnsi="仿宋_GB2312" w:eastAsia="仿宋_GB2312" w:cs="Times New Roman"/>
          <w:color w:val="000000"/>
          <w:kern w:val="2"/>
          <w:sz w:val="32"/>
          <w:szCs w:val="24"/>
          <w:highlight w:val="none"/>
          <w:lang w:val="en-US" w:eastAsia="zh-CN" w:bidi="ar-SA"/>
        </w:rPr>
        <w:t>《私募投资基金监督管理暂行办法》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highlight w:val="none"/>
          <w:lang w:eastAsia="zh-CN"/>
        </w:rPr>
        <w:t>（证监会令第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highlight w:val="none"/>
          <w:lang w:val="en-US" w:eastAsia="zh-CN"/>
        </w:rPr>
        <w:t>105号，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highlight w:val="none"/>
          <w:lang w:eastAsia="zh-CN"/>
        </w:rPr>
        <w:t>以</w:t>
      </w:r>
      <w:r>
        <w:rPr>
          <w:rFonts w:hint="eastAsia" w:ascii="仿宋_GB2312" w:hAnsi="宋体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下简称《私募办法》）第二十三条第九项</w:t>
      </w:r>
      <w:r>
        <w:rPr>
          <w:rFonts w:hint="eastAsia" w:ascii="仿宋_GB2312" w:hAnsi="宋体" w:eastAsia="仿宋_GB2312"/>
          <w:color w:val="000000"/>
          <w:spacing w:val="0"/>
          <w:sz w:val="32"/>
          <w:szCs w:val="32"/>
          <w:highlight w:val="none"/>
          <w:lang w:val="en-US" w:eastAsia="zh-CN"/>
        </w:rPr>
        <w:t>、《关于加强私募投资基金监管的若干规定》（证监会公告〔2020〕71号，以下简称《若干规定》）第九条第一款第八项的规定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="0" w:afterLines="0" w:line="336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</w:pP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根据</w:t>
      </w:r>
      <w:r>
        <w:rPr>
          <w:rFonts w:hint="eastAsia" w:ascii="仿宋_GB2312" w:hAnsi="宋体" w:eastAsia="仿宋_GB2312" w:cs="Times New Roman"/>
          <w:color w:val="000000"/>
          <w:spacing w:val="0"/>
          <w:sz w:val="32"/>
          <w:szCs w:val="32"/>
          <w:highlight w:val="none"/>
          <w:lang w:eastAsia="zh-CN"/>
        </w:rPr>
        <w:t>《私募办法》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第三十三条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highlight w:val="none"/>
          <w:lang w:val="en-US" w:eastAsia="zh-CN"/>
        </w:rPr>
        <w:t>以及《若干规定》第十三条第一款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等规定，我局决定对你公司采取出具警示函的行政监管措施。</w:t>
      </w:r>
      <w:r>
        <w:rPr>
          <w:rFonts w:hint="eastAsia" w:ascii="仿宋_GB2312" w:hAnsi="仿宋_GB2312" w:eastAsia="仿宋_GB2312" w:cs="仿宋_GB2312"/>
          <w:sz w:val="32"/>
        </w:rPr>
        <w:t>你公司应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高度重视</w:t>
      </w:r>
      <w:r>
        <w:rPr>
          <w:rFonts w:hint="eastAsia" w:ascii="仿宋_GB2312" w:hAnsi="仿宋_GB2312" w:eastAsia="仿宋_GB2312" w:cs="仿宋_GB2312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采取切实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有效的措施</w:t>
      </w:r>
      <w:r>
        <w:rPr>
          <w:rFonts w:hint="eastAsia" w:ascii="仿宋_GB2312" w:hAnsi="仿宋_GB2312" w:eastAsia="仿宋_GB2312" w:cs="仿宋_GB2312"/>
          <w:spacing w:val="0"/>
          <w:sz w:val="32"/>
        </w:rPr>
        <w:t>，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对存在的问题进行整改，对相关责任人员进行问责，并在收到本决定书之日起</w:t>
      </w:r>
      <w:r>
        <w:rPr>
          <w:rFonts w:hint="eastAsia" w:ascii="仿宋_GB2312" w:hAnsi="仿宋_GB2312" w:eastAsia="仿宋_GB2312" w:cs="仿宋_GB2312"/>
          <w:spacing w:val="0"/>
          <w:sz w:val="32"/>
          <w:lang w:val="en-US" w:eastAsia="zh-CN"/>
        </w:rPr>
        <w:t>30日内</w:t>
      </w:r>
      <w:r>
        <w:rPr>
          <w:rFonts w:hint="eastAsia" w:ascii="仿宋_GB2312" w:hAnsi="仿宋_GB2312" w:eastAsia="仿宋_GB2312" w:cs="仿宋_GB2312"/>
          <w:spacing w:val="0"/>
          <w:sz w:val="32"/>
          <w:lang w:eastAsia="zh-CN"/>
        </w:rPr>
        <w:t>向我局</w:t>
      </w:r>
      <w:r>
        <w:rPr>
          <w:rFonts w:hint="eastAsia" w:ascii="仿宋_GB2312" w:hAnsi="仿宋_GB2312" w:eastAsia="仿宋_GB2312" w:cs="仿宋_GB2312"/>
          <w:spacing w:val="0"/>
          <w:sz w:val="32"/>
        </w:rPr>
        <w:t>提交书面整改报</w:t>
      </w:r>
      <w:r>
        <w:rPr>
          <w:rFonts w:hint="eastAsia" w:ascii="仿宋_GB2312" w:hAnsi="仿宋_GB2312" w:eastAsia="仿宋_GB2312" w:cs="仿宋_GB2312"/>
          <w:sz w:val="32"/>
        </w:rPr>
        <w:t>告</w:t>
      </w:r>
      <w:r>
        <w:rPr>
          <w:rFonts w:hint="eastAsia" w:ascii="仿宋_GB2312" w:hAnsi="仿宋_GB2312" w:eastAsia="仿宋_GB2312" w:cs="仿宋"/>
          <w:color w:val="auto"/>
          <w:sz w:val="32"/>
          <w:szCs w:val="30"/>
          <w:lang w:val="en-US" w:eastAsia="zh-CN"/>
        </w:rPr>
        <w:t>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你公司</w:t>
      </w:r>
      <w:r>
        <w:rPr>
          <w:rFonts w:hint="eastAsia" w:ascii="仿宋_GB2312" w:hAnsi="仿宋_GB2312" w:eastAsia="仿宋_GB2312" w:cs="仿宋_GB2312"/>
          <w:sz w:val="32"/>
        </w:rPr>
        <w:t>如果对本监督管理措施不服，可以在收到本决定书之日起60日内向中国证券监督管理委员会提出行政复议申请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</w:rPr>
        <w:t>也可以在收到本决定书之日起6个月内向有管辖权的人民法院提起诉讼。复议与诉讼期间，上述监督管理措施不停止执行。</w:t>
      </w:r>
    </w:p>
    <w:p>
      <w:pPr>
        <w:widowControl w:val="0"/>
        <w:overflowPunct w:val="0"/>
        <w:snapToGrid w:val="0"/>
        <w:spacing w:line="360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60" w:lineRule="auto"/>
        <w:jc w:val="left"/>
        <w:textAlignment w:val="auto"/>
        <w:rPr>
          <w:rFonts w:ascii="宋体" w:hAnsi="宋体" w:eastAsia="宋体" w:cs="宋体"/>
          <w:color w:val="000000"/>
          <w:sz w:val="28"/>
          <w:szCs w:val="28"/>
        </w:rPr>
      </w:pPr>
    </w:p>
    <w:p>
      <w:pPr>
        <w:overflowPunct w:val="0"/>
        <w:adjustRightInd w:val="0"/>
        <w:snapToGrid w:val="0"/>
        <w:spacing w:line="360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60" w:lineRule="auto"/>
        <w:jc w:val="center"/>
        <w:outlineLvl w:val="9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default" w:ascii="仿宋_GB2312" w:eastAsia="仿宋_GB2312" w:cs="Times New Roman"/>
          <w:color w:val="000000"/>
          <w:spacing w:val="10"/>
          <w:sz w:val="32"/>
          <w:szCs w:val="32"/>
          <w:lang w:val="en-US"/>
        </w:rPr>
        <w:t>29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24"/>
          <w:szCs w:val="16"/>
        </w:rPr>
      </w:pPr>
    </w:p>
    <w:p>
      <w:pPr>
        <w:snapToGrid w:val="0"/>
        <w:spacing w:line="240" w:lineRule="auto"/>
        <w:ind w:right="28"/>
        <w:jc w:val="left"/>
        <w:rPr>
          <w:rFonts w:hint="eastAsia" w:ascii="黑体" w:eastAsia="黑体"/>
          <w:spacing w:val="8"/>
          <w:sz w:val="24"/>
          <w:szCs w:val="24"/>
        </w:rPr>
      </w:pPr>
    </w:p>
    <w:p>
      <w:pPr>
        <w:pBdr>
          <w:top w:val="single" w:color="auto" w:sz="8" w:space="6"/>
        </w:pBdr>
        <w:adjustRightInd w:val="0"/>
        <w:snapToGrid w:val="0"/>
        <w:spacing w:after="109" w:afterLines="35" w:line="240" w:lineRule="auto"/>
        <w:ind w:firstLine="302" w:firstLineChars="100"/>
        <w:rPr>
          <w:rFonts w:ascii="长城仿宋" w:eastAsia="长城仿宋"/>
          <w:spacing w:val="11"/>
          <w:sz w:val="28"/>
        </w:rPr>
      </w:pPr>
      <w:r>
        <w:rPr>
          <w:rFonts w:hint="eastAsia" w:ascii="仿宋_GB2312" w:eastAsia="仿宋_GB2312"/>
          <w:spacing w:val="11"/>
          <w:sz w:val="28"/>
        </w:rPr>
        <w:t>抄送：证监会市场二司、法治司；中国证券投资基金业协会。</w:t>
      </w:r>
    </w:p>
    <w:p>
      <w:pPr>
        <w:pBdr>
          <w:top w:val="single" w:color="auto" w:sz="4" w:space="6"/>
        </w:pBdr>
        <w:adjustRightInd w:val="0"/>
        <w:snapToGrid w:val="0"/>
        <w:spacing w:after="109" w:afterLines="35" w:line="240" w:lineRule="auto"/>
        <w:ind w:firstLine="318"/>
        <w:jc w:val="left"/>
        <w:rPr>
          <w:rFonts w:hint="eastAsia" w:ascii="仿宋_GB2312" w:eastAsia="仿宋_GB2312"/>
          <w:spacing w:val="8"/>
          <w:sz w:val="28"/>
        </w:rPr>
      </w:pPr>
      <w:r>
        <w:rPr>
          <w:rFonts w:hint="eastAsia" w:ascii="仿宋_GB2312" w:eastAsia="仿宋_GB2312"/>
          <w:spacing w:val="8"/>
          <w:sz w:val="28"/>
        </w:rPr>
        <w:t xml:space="preserve">广东证监局办公室     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</w:t>
      </w:r>
      <w:r>
        <w:rPr>
          <w:rFonts w:hint="eastAsia" w:ascii="仿宋_GB2312" w:eastAsia="仿宋_GB2312"/>
          <w:spacing w:val="8"/>
          <w:sz w:val="28"/>
        </w:rPr>
        <w:t xml:space="preserve">  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</w:t>
      </w:r>
      <w:r>
        <w:rPr>
          <w:rFonts w:hint="eastAsia" w:ascii="仿宋_GB2312" w:eastAsia="仿宋_GB2312"/>
          <w:spacing w:val="8"/>
          <w:sz w:val="28"/>
        </w:rPr>
        <w:t xml:space="preserve"> 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 xml:space="preserve">    </w:t>
      </w:r>
      <w:r>
        <w:rPr>
          <w:rFonts w:hint="eastAsia" w:ascii="仿宋_GB2312" w:eastAsia="仿宋_GB2312"/>
          <w:spacing w:val="8"/>
          <w:sz w:val="28"/>
          <w:lang w:eastAsia="zh-CN"/>
        </w:rPr>
        <w:t>20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25</w:t>
      </w:r>
      <w:r>
        <w:rPr>
          <w:rFonts w:hint="eastAsia" w:ascii="仿宋_GB2312" w:eastAsia="仿宋_GB2312"/>
          <w:spacing w:val="8"/>
          <w:sz w:val="28"/>
        </w:rPr>
        <w:t>年</w:t>
      </w:r>
      <w:r>
        <w:rPr>
          <w:rFonts w:hint="eastAsia" w:ascii="仿宋_GB2312" w:eastAsia="仿宋_GB2312"/>
          <w:spacing w:val="8"/>
          <w:sz w:val="28"/>
          <w:lang w:val="en-US" w:eastAsia="zh-CN"/>
        </w:rPr>
        <w:t>7</w:t>
      </w:r>
      <w:r>
        <w:rPr>
          <w:rFonts w:hint="eastAsia" w:ascii="仿宋_GB2312" w:eastAsia="仿宋_GB2312"/>
          <w:spacing w:val="8"/>
          <w:sz w:val="28"/>
        </w:rPr>
        <w:t>月</w:t>
      </w:r>
      <w:r>
        <w:rPr>
          <w:rFonts w:hint="default" w:ascii="仿宋_GB2312" w:eastAsia="仿宋_GB2312"/>
          <w:spacing w:val="8"/>
          <w:sz w:val="28"/>
          <w:lang w:val="en-US" w:eastAsia="zh-CN"/>
        </w:rPr>
        <w:t>29</w:t>
      </w:r>
      <w:r>
        <w:rPr>
          <w:rFonts w:hint="eastAsia" w:ascii="仿宋_GB2312" w:eastAsia="仿宋_GB2312"/>
          <w:spacing w:val="8"/>
          <w:sz w:val="28"/>
        </w:rPr>
        <w:t>日印发</w:t>
      </w:r>
    </w:p>
    <w:p>
      <w:pPr>
        <w:pBdr>
          <w:top w:val="single" w:color="auto" w:sz="8" w:space="7"/>
        </w:pBdr>
        <w:overflowPunct w:val="0"/>
        <w:bidi w:val="0"/>
        <w:adjustRightInd w:val="0"/>
        <w:snapToGrid w:val="0"/>
        <w:spacing w:beforeLines="0" w:after="0" w:afterLines="0" w:line="240" w:lineRule="auto"/>
        <w:ind w:firstLine="0"/>
        <w:jc w:val="left"/>
        <w:rPr>
          <w:rFonts w:hint="default" w:ascii="仿宋_GB2312" w:eastAsia="仿宋_GB2312"/>
          <w:spacing w:val="8"/>
          <w:sz w:val="2"/>
          <w:szCs w:val="2"/>
          <w:lang w:val="en-US" w:eastAsia="zh-CN"/>
        </w:rPr>
      </w:pPr>
    </w:p>
    <w:p>
      <w:pPr>
        <w:snapToGrid w:val="0"/>
        <w:spacing w:beforeLines="0" w:afterLines="0" w:line="240" w:lineRule="auto"/>
        <w:rPr>
          <w:sz w:val="2"/>
          <w:szCs w:val="2"/>
        </w:rPr>
      </w:pPr>
    </w:p>
    <w:bookmarkEnd w:id="0"/>
    <w:p>
      <w:pPr>
        <w:snapToGrid w:val="0"/>
        <w:spacing w:beforeLines="0" w:afterLines="0"/>
        <w:rPr>
          <w:sz w:val="2"/>
          <w:szCs w:val="2"/>
        </w:rPr>
      </w:pPr>
    </w:p>
    <w:sectPr>
      <w:headerReference r:id="rId3" w:type="default"/>
      <w:footerReference r:id="rId4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长城仿宋">
    <w:altName w:val="方正仿宋_GBK"/>
    <w:panose1 w:val="02010609000101010101"/>
    <w:charset w:val="00"/>
    <w:family w:val="roma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7E85E"/>
    <w:rsid w:val="1E7B12BB"/>
    <w:rsid w:val="1F7D70CA"/>
    <w:rsid w:val="28BE4C45"/>
    <w:rsid w:val="35BD0302"/>
    <w:rsid w:val="37DBA340"/>
    <w:rsid w:val="3DFBDCD6"/>
    <w:rsid w:val="3DFF8F82"/>
    <w:rsid w:val="3EBC064D"/>
    <w:rsid w:val="3EEC38C3"/>
    <w:rsid w:val="5EFF22E1"/>
    <w:rsid w:val="5FB686AD"/>
    <w:rsid w:val="5FFFE792"/>
    <w:rsid w:val="6DDBBFCF"/>
    <w:rsid w:val="75FBC8AD"/>
    <w:rsid w:val="7A3F3DB6"/>
    <w:rsid w:val="7B698995"/>
    <w:rsid w:val="7F24B5E9"/>
    <w:rsid w:val="7F3E6EC7"/>
    <w:rsid w:val="7F5FF3FB"/>
    <w:rsid w:val="7F6F46A4"/>
    <w:rsid w:val="7FEFFED9"/>
    <w:rsid w:val="9EFDE1B8"/>
    <w:rsid w:val="BCEDADB4"/>
    <w:rsid w:val="C6D3E0BA"/>
    <w:rsid w:val="CAFFF185"/>
    <w:rsid w:val="D5D7FBC9"/>
    <w:rsid w:val="D7FE39B1"/>
    <w:rsid w:val="F1FAC414"/>
    <w:rsid w:val="F2FF2E4D"/>
    <w:rsid w:val="F4BE1B1D"/>
    <w:rsid w:val="F9F7E85E"/>
    <w:rsid w:val="FBEF9DF7"/>
    <w:rsid w:val="FEBB7857"/>
    <w:rsid w:val="FF7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qFormat/>
    <w:uiPriority w:val="0"/>
    <w:pPr>
      <w:spacing w:line="240" w:lineRule="auto"/>
      <w:ind w:firstLine="420"/>
      <w:jc w:val="both"/>
      <w:textAlignment w:val="baseline"/>
    </w:pPr>
    <w:rPr>
      <w:rFonts w:ascii="宋体" w:hAnsi="Calibri"/>
      <w:kern w:val="0"/>
      <w:sz w:val="21"/>
      <w:szCs w:val="24"/>
      <w:lang w:val="en-US" w:eastAsia="zh-CN" w:bidi="ar-SA"/>
    </w:rPr>
  </w:style>
  <w:style w:type="paragraph" w:styleId="3">
    <w:name w:val="Body Text"/>
    <w:basedOn w:val="1"/>
    <w:unhideWhenUsed/>
    <w:qFormat/>
    <w:uiPriority w:val="99"/>
    <w:pPr>
      <w:jc w:val="center"/>
    </w:pPr>
    <w:rPr>
      <w:rFonts w:eastAsia="黑体"/>
      <w:kern w:val="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 Char Char Char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2025-07-24T06:21:00Z</dcterms:created>
  <dc:creator>李君达</dc:creator>
  <cp:lastModifiedBy>于晓雷</cp:lastModifiedBy>
  <cp:lastPrinted>2025-07-26T03:10:00Z</cp:lastPrinted>
  <dcterms:modified xsi:type="dcterms:W3CDTF">2025-09-08T17:59:20Z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2C033B5DB8F1C93BEF0690687D5C8373</vt:lpwstr>
  </property>
</Properties>
</file>