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hint="eastAsia" w:ascii="方正小标宋简体" w:hAnsi="方正小标宋简体" w:eastAsia="方正小标宋简体"/>
          <w:b/>
          <w:color w:val="FF0000"/>
          <w:w w:val="95"/>
          <w:kern w:val="0"/>
          <w:sz w:val="44"/>
          <w:szCs w:val="116"/>
        </w:rPr>
      </w:pPr>
      <w:bookmarkStart w:id="1" w:name="_GoBack"/>
      <w:bookmarkEnd w:id="1"/>
      <w:r>
        <w:rPr>
          <w:rFonts w:hint="eastAsia" w:ascii="方正小标宋简体" w:hAnsi="方正小标宋简体" w:eastAsia="方正小标宋简体" w:cs="黑体"/>
          <w:b/>
          <w:color w:val="FF0000"/>
          <w:w w:val="95"/>
          <w:sz w:val="44"/>
          <w:szCs w:val="72"/>
        </w:rPr>
        <w:t>中国证券监督管理委员会广东监管局</w:t>
      </w:r>
    </w:p>
    <w:p>
      <w:pPr>
        <w:jc w:val="center"/>
        <w:rPr>
          <w:rFonts w:hint="eastAsia" w:ascii="方正小标宋简体" w:hAnsi="方正小标宋简体" w:eastAsia="方正小标宋简体"/>
          <w:snapToGrid w:val="0"/>
          <w:spacing w:val="85"/>
          <w:w w:val="90"/>
          <w:sz w:val="72"/>
          <w:szCs w:val="72"/>
        </w:rPr>
      </w:pPr>
      <w:r>
        <w:rPr>
          <w:rFonts w:hint="eastAsia" w:ascii="方正小标宋简体" w:hAnsi="方正小标宋简体" w:eastAsia="方正小标宋简体"/>
          <w:b/>
          <w:bCs/>
          <w:snapToGrid w:val="0"/>
          <w:color w:val="FF0000"/>
          <w:spacing w:val="85"/>
          <w:w w:val="90"/>
          <w:sz w:val="72"/>
          <w:szCs w:val="72"/>
        </w:rPr>
        <w:t>行政监管措施决定书</w:t>
      </w:r>
    </w:p>
    <w:p>
      <w:pPr>
        <w:snapToGrid w:val="0"/>
        <w:jc w:val="center"/>
        <w:rPr>
          <w:rFonts w:hint="eastAsia" w:ascii="仿宋_GB2312" w:hAnsi="仿宋_GB2312" w:eastAsia="仿宋_GB2312" w:cs="宋体"/>
          <w:sz w:val="40"/>
          <w:szCs w:val="40"/>
        </w:rPr>
      </w:pPr>
    </w:p>
    <w:p>
      <w:pPr>
        <w:snapToGrid w:val="0"/>
        <w:spacing w:before="156" w:beforeLines="50" w:line="300" w:lineRule="auto"/>
        <w:jc w:val="center"/>
        <w:rPr>
          <w:rFonts w:ascii="黑体" w:hAnsi="Times New Roman" w:eastAsia="黑体" w:cs="Times New Roman"/>
          <w:color w:val="000000"/>
          <w:spacing w:val="12"/>
          <w:sz w:val="32"/>
          <w:szCs w:val="20"/>
        </w:rPr>
      </w:pPr>
      <w:r>
        <w:rPr>
          <w:rFonts w:hint="eastAsia" w:ascii="仿宋_GB2312" w:hAnsi="Times New Roman" w:eastAsia="仿宋_GB2312" w:cs="Times New Roman"/>
          <w:color w:val="000000"/>
          <w:spacing w:val="12"/>
          <w:sz w:val="28"/>
          <w:szCs w:val="20"/>
        </w:rPr>
        <w:t>〔20</w:t>
      </w:r>
      <w:r>
        <w:rPr>
          <w:rFonts w:hint="eastAsia" w:ascii="仿宋_GB2312" w:hAnsi="Times New Roman" w:eastAsia="仿宋_GB2312" w:cs="Times New Roman"/>
          <w:color w:val="000000"/>
          <w:spacing w:val="12"/>
          <w:sz w:val="28"/>
          <w:szCs w:val="20"/>
          <w:lang w:val="en-US" w:eastAsia="zh-CN"/>
        </w:rPr>
        <w:t>2</w:t>
      </w:r>
      <w:r>
        <w:rPr>
          <w:rFonts w:hint="default" w:ascii="仿宋_GB2312" w:hAnsi="Times New Roman" w:eastAsia="仿宋_GB2312" w:cs="Times New Roman"/>
          <w:color w:val="000000"/>
          <w:spacing w:val="12"/>
          <w:sz w:val="28"/>
          <w:szCs w:val="20"/>
          <w:lang w:val="en-US" w:eastAsia="zh-CN"/>
        </w:rPr>
        <w:t>5</w:t>
      </w:r>
      <w:r>
        <w:rPr>
          <w:rFonts w:hint="eastAsia" w:ascii="仿宋_GB2312" w:hAnsi="Times New Roman" w:eastAsia="仿宋_GB2312" w:cs="Times New Roman"/>
          <w:color w:val="000000"/>
          <w:spacing w:val="12"/>
          <w:sz w:val="28"/>
          <w:szCs w:val="20"/>
        </w:rPr>
        <w:t>〕</w:t>
      </w:r>
      <w:r>
        <w:rPr>
          <w:rFonts w:hint="default" w:ascii="仿宋_GB2312" w:eastAsia="仿宋_GB2312" w:cs="Times New Roman"/>
          <w:color w:val="000000"/>
          <w:spacing w:val="12"/>
          <w:sz w:val="28"/>
          <w:szCs w:val="20"/>
          <w:lang w:val="en-US"/>
        </w:rPr>
        <w:t>80</w:t>
      </w:r>
      <w:r>
        <w:rPr>
          <w:rFonts w:hint="eastAsia" w:ascii="仿宋_GB2312" w:hAnsi="Times New Roman" w:eastAsia="仿宋_GB2312" w:cs="Times New Roman"/>
          <w:color w:val="000000"/>
          <w:spacing w:val="12"/>
          <w:sz w:val="28"/>
          <w:szCs w:val="20"/>
        </w:rPr>
        <w:t>号</w:t>
      </w:r>
    </w:p>
    <w:p>
      <w:pPr>
        <w:snapToGrid w:val="0"/>
        <w:jc w:val="center"/>
        <w:rPr>
          <w:rFonts w:hint="eastAsia" w:ascii="仿宋_GB2312" w:hAnsi="仿宋_GB2312" w:eastAsia="仿宋_GB2312"/>
          <w:sz w:val="28"/>
          <w:szCs w:val="28"/>
        </w:rPr>
      </w:pPr>
      <w: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zC+1ktYAAAAIAQAADwAAAAAAAAABACAAAAA4AAAAZHJzL2Rvd25yZXYueG1s&#10;UEsBAhQAFAAAAAgAh07iQCiR+N7kAQAAqgMAAA4AAAAAAAAAAQAgAAAAOwEAAGRycy9lMm9Eb2Mu&#10;eG1sUEsFBgAAAAAGAAYAWQEAAJEFAAAAAA==&#10;">
                <v:fill on="f" focussize="0,0"/>
                <v:stroke weight="1pt" color="#FF0000" joinstyle="round"/>
                <v:imagedata o:title=""/>
                <o:lock v:ext="edit" aspectratio="f"/>
              </v:line>
            </w:pict>
          </mc:Fallback>
        </mc:AlternateContent>
      </w:r>
    </w:p>
    <w:p>
      <w:pPr>
        <w:jc w:val="center"/>
        <w:rPr>
          <w:rFonts w:hint="eastAsia"/>
          <w:sz w:val="28"/>
          <w:szCs w:val="28"/>
        </w:rPr>
      </w:pPr>
    </w:p>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宋体"/>
          <w:spacing w:val="0"/>
          <w:kern w:val="0"/>
          <w:sz w:val="44"/>
          <w:szCs w:val="44"/>
          <w:lang w:eastAsia="zh-CN"/>
        </w:rPr>
      </w:pPr>
      <w:bookmarkStart w:id="0" w:name="quanwen"/>
      <w:r>
        <w:rPr>
          <w:rFonts w:hint="eastAsia" w:ascii="方正小标宋简体" w:hAnsi="方正小标宋简体" w:eastAsia="方正小标宋简体" w:cs="宋体"/>
          <w:spacing w:val="0"/>
          <w:kern w:val="0"/>
          <w:sz w:val="44"/>
          <w:szCs w:val="44"/>
          <w:lang w:eastAsia="zh-CN"/>
        </w:rPr>
        <w:t>关于对</w:t>
      </w:r>
      <w:r>
        <w:rPr>
          <w:rFonts w:hint="eastAsia" w:ascii="方正小标宋简体" w:hAnsi="方正小标宋简体" w:eastAsia="方正小标宋简体" w:cs="宋体"/>
          <w:spacing w:val="0"/>
          <w:kern w:val="0"/>
          <w:sz w:val="44"/>
          <w:szCs w:val="44"/>
          <w:lang w:val="en-US" w:eastAsia="zh-CN"/>
        </w:rPr>
        <w:t>中威正信（北京）资产评估有限公司、刘小军、吴彩格</w:t>
      </w:r>
      <w:r>
        <w:rPr>
          <w:rFonts w:hint="eastAsia" w:ascii="方正小标宋简体" w:hAnsi="方正小标宋简体" w:eastAsia="方正小标宋简体" w:cs="宋体"/>
          <w:spacing w:val="0"/>
          <w:kern w:val="0"/>
          <w:sz w:val="44"/>
          <w:szCs w:val="44"/>
          <w:lang w:eastAsia="zh-CN"/>
        </w:rPr>
        <w:t>采取出具警示函措施的决定</w:t>
      </w:r>
    </w:p>
    <w:p>
      <w:pPr>
        <w:pStyle w:val="2"/>
        <w:snapToGrid w:val="0"/>
        <w:spacing w:beforeLines="0" w:afterLines="0"/>
        <w:rPr>
          <w:rFonts w:hint="eastAsia" w:ascii="方正小标宋简体" w:hAnsi="方正小标宋简体" w:eastAsia="方正小标宋简体" w:cs="方正小标宋简体"/>
          <w:sz w:val="32"/>
          <w:szCs w:val="32"/>
        </w:rPr>
      </w:pPr>
    </w:p>
    <w:p>
      <w:pPr>
        <w:overflowPunct w:val="0"/>
        <w:adjustRightInd w:val="0"/>
        <w:snapToGrid w:val="0"/>
        <w:spacing w:beforeLines="0" w:afterLines="0" w:line="336" w:lineRule="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中威正信（北京）资产评估有限公司、刘小军、吴彩格：</w:t>
      </w:r>
    </w:p>
    <w:p>
      <w:pPr>
        <w:overflowPunct w:val="0"/>
        <w:adjustRightInd w:val="0"/>
        <w:snapToGrid w:val="0"/>
        <w:spacing w:beforeLines="0" w:afterLines="0" w:line="336" w:lineRule="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经查，你公司在执行2021年度广东太安堂药业股份有限公司（以下简称太安堂）拟转让所持有的广东康爱多数字健康科技有限公司（以下简称康爱多）股权所涉及的康爱多股东全部权益市场价值评估项目（报告编号：中威正</w:t>
      </w:r>
      <w:r>
        <w:rPr>
          <w:rFonts w:hint="eastAsia" w:ascii="仿宋_GB2312" w:hAnsi="仿宋_GB2312" w:eastAsia="仿宋_GB2312" w:cs="仿宋_GB2312"/>
          <w:b w:val="0"/>
          <w:bCs w:val="0"/>
          <w:color w:val="auto"/>
          <w:kern w:val="0"/>
          <w:sz w:val="32"/>
          <w:szCs w:val="32"/>
          <w:highlight w:val="none"/>
          <w:lang w:val="en-US" w:eastAsia="zh-CN"/>
        </w:rPr>
        <w:t>信评报字（2021）第17005号）中存在以下问题：</w:t>
      </w:r>
    </w:p>
    <w:p>
      <w:pPr>
        <w:overflowPunct w:val="0"/>
        <w:adjustRightInd w:val="0"/>
        <w:snapToGrid w:val="0"/>
        <w:spacing w:beforeLines="0" w:afterLines="0" w:line="336" w:lineRule="auto"/>
        <w:ind w:firstLine="64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一、对康爱多历史财务数据的评估程序执行不到位</w:t>
      </w:r>
    </w:p>
    <w:p>
      <w:pPr>
        <w:overflowPunct w:val="0"/>
        <w:adjustRightInd w:val="0"/>
        <w:snapToGrid w:val="0"/>
        <w:spacing w:beforeLines="0" w:afterLines="0" w:line="336" w:lineRule="auto"/>
        <w:ind w:firstLine="640"/>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在执业过程中，未能对康爱多财务数据来源可靠性执行充分的核查程序，未对康爱多往年收入变动与利润存在异常的情况保持重点关注，未对康爱多财务预测趋势与过往历史数据存在差异的原因及合理性进行查证、分析。</w:t>
      </w:r>
    </w:p>
    <w:p>
      <w:pPr>
        <w:overflowPunct w:val="0"/>
        <w:adjustRightInd w:val="0"/>
        <w:snapToGrid w:val="0"/>
        <w:spacing w:beforeLines="0" w:afterLines="0" w:line="336" w:lineRule="auto"/>
        <w:ind w:firstLine="641"/>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上述执业行为不符合《资产评估准则——企业价值》第七条、第九条、第二十三条的规定。</w:t>
      </w:r>
    </w:p>
    <w:p>
      <w:pPr>
        <w:overflowPunct w:val="0"/>
        <w:adjustRightInd w:val="0"/>
        <w:snapToGrid w:val="0"/>
        <w:spacing w:beforeLines="0" w:afterLines="0" w:line="336" w:lineRule="auto"/>
        <w:ind w:firstLine="641"/>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二、对康爱多存货盘点程序执行不到位、不充分</w:t>
      </w:r>
    </w:p>
    <w:p>
      <w:pPr>
        <w:overflowPunct w:val="0"/>
        <w:adjustRightInd w:val="0"/>
        <w:snapToGrid w:val="0"/>
        <w:spacing w:beforeLines="0" w:afterLines="0" w:line="336" w:lineRule="auto"/>
        <w:ind w:firstLine="641"/>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在执业过程中，未预先确定抽盘样本标准，存在随意计划选取抽盘样本情况，实际执行抽盘比率低，且未按预定程序核查康爱多存货的成新率、变质、破损等情况。项目底稿中部分盘点记录表上无评估人员签名，未见对存货倒推测算过程的相关记录。</w:t>
      </w:r>
    </w:p>
    <w:p>
      <w:pPr>
        <w:overflowPunct w:val="0"/>
        <w:adjustRightInd w:val="0"/>
        <w:snapToGrid w:val="0"/>
        <w:spacing w:beforeLines="0" w:afterLines="0" w:line="336" w:lineRule="auto"/>
        <w:ind w:firstLine="640"/>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上述执业行为不符合《资产评估执业准则——资产评估程序》第十五条、</w:t>
      </w:r>
      <w:r>
        <w:rPr>
          <w:rFonts w:hint="default" w:ascii="仿宋_GB2312" w:hAnsi="仿宋_GB2312" w:eastAsia="仿宋_GB2312" w:cs="仿宋_GB2312"/>
          <w:b w:val="0"/>
          <w:bCs w:val="0"/>
          <w:color w:val="auto"/>
          <w:kern w:val="0"/>
          <w:sz w:val="32"/>
          <w:szCs w:val="32"/>
          <w:highlight w:val="none"/>
          <w:lang w:val="en-US" w:eastAsia="zh-CN"/>
        </w:rPr>
        <w:t>第十七条</w:t>
      </w:r>
      <w:r>
        <w:rPr>
          <w:rFonts w:hint="eastAsia" w:ascii="仿宋_GB2312" w:hAnsi="仿宋_GB2312" w:eastAsia="仿宋_GB2312" w:cs="仿宋_GB2312"/>
          <w:b w:val="0"/>
          <w:bCs w:val="0"/>
          <w:color w:val="auto"/>
          <w:kern w:val="0"/>
          <w:sz w:val="32"/>
          <w:szCs w:val="32"/>
          <w:highlight w:val="none"/>
          <w:lang w:val="en-US" w:eastAsia="zh-CN"/>
        </w:rPr>
        <w:t>的规定。</w:t>
      </w:r>
    </w:p>
    <w:p>
      <w:pPr>
        <w:overflowPunct w:val="0"/>
        <w:adjustRightInd w:val="0"/>
        <w:snapToGrid w:val="0"/>
        <w:spacing w:beforeLines="0" w:afterLines="0" w:line="336" w:lineRule="auto"/>
        <w:ind w:firstLine="64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三、未对采用其他证券服务机构专业意见的内容审慎核查</w:t>
      </w:r>
    </w:p>
    <w:p>
      <w:pPr>
        <w:overflowPunct w:val="0"/>
        <w:adjustRightInd w:val="0"/>
        <w:snapToGrid w:val="0"/>
        <w:spacing w:beforeLines="0" w:afterLines="0" w:line="336" w:lineRule="auto"/>
        <w:ind w:firstLine="640"/>
        <w:rPr>
          <w:rFonts w:hint="eastAsia" w:ascii="楷体" w:hAnsi="楷体" w:eastAsia="楷体" w:cs="楷体"/>
          <w:b w:val="0"/>
          <w:bCs w:val="0"/>
          <w:kern w:val="2"/>
          <w:sz w:val="28"/>
          <w:szCs w:val="28"/>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rPr>
        <w:t>在执业过程中，使用了《审计报告》（报告号：中兴华审字（2021）第410045号）作为参考依据。在项目工作底稿中，未见你们将合同检查结果、函证结果与审计报告相关数据进行核对过程的记录，未见对审计报告中披露的对审计报告结论产生重大影响的营业收入、应收账款等关键财务指标事项进行审慎核查的相关过程。对于发出商品的盘点程序履行受限及利用的审计报告相关情况，未在披露的评估报告中予以特别说明。</w:t>
      </w:r>
    </w:p>
    <w:p>
      <w:pPr>
        <w:overflowPunct w:val="0"/>
        <w:adjustRightInd w:val="0"/>
        <w:snapToGrid w:val="0"/>
        <w:spacing w:beforeLines="0" w:afterLines="0" w:line="336" w:lineRule="auto"/>
        <w:ind w:firstLine="640"/>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上述执业行为不符合《上市公司重大资产重组管理办法》</w:t>
      </w:r>
      <w:r>
        <w:rPr>
          <w:rFonts w:hint="eastAsia" w:ascii="仿宋_GB2312" w:hAnsi="仿宋_GB2312" w:eastAsia="仿宋_GB2312" w:cs="Times New Roman"/>
          <w:color w:val="auto"/>
          <w:spacing w:val="0"/>
          <w:kern w:val="0"/>
          <w:sz w:val="32"/>
          <w:highlight w:val="none"/>
          <w:lang w:val="en-US" w:eastAsia="zh-CN"/>
        </w:rPr>
        <w:t>（证监会令第166号）</w:t>
      </w:r>
      <w:r>
        <w:rPr>
          <w:rFonts w:hint="eastAsia" w:ascii="仿宋_GB2312" w:hAnsi="仿宋_GB2312" w:eastAsia="仿宋_GB2312" w:cs="仿宋_GB2312"/>
          <w:b w:val="0"/>
          <w:bCs w:val="0"/>
          <w:color w:val="auto"/>
          <w:kern w:val="0"/>
          <w:sz w:val="32"/>
          <w:szCs w:val="32"/>
          <w:highlight w:val="none"/>
          <w:lang w:val="en-US" w:eastAsia="zh-CN" w:bidi="ar-SA"/>
        </w:rPr>
        <w:t>第十七条第四款、《资产评估基本准则》第二十七条的规定。</w:t>
      </w:r>
    </w:p>
    <w:p>
      <w:pPr>
        <w:overflowPunct w:val="0"/>
        <w:adjustRightInd w:val="0"/>
        <w:snapToGrid w:val="0"/>
        <w:spacing w:beforeLines="0" w:afterLines="0" w:line="336" w:lineRule="auto"/>
        <w:ind w:firstLine="64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四、项目工作底稿存在多处错漏</w:t>
      </w:r>
    </w:p>
    <w:p>
      <w:pPr>
        <w:overflowPunct w:val="0"/>
        <w:adjustRightInd w:val="0"/>
        <w:snapToGrid w:val="0"/>
        <w:spacing w:beforeLines="0" w:afterLines="0" w:line="336" w:lineRule="auto"/>
        <w:ind w:firstLine="640"/>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工作底稿记录存在多处明显错漏，部分工作底稿文档格式错误，表格中文字内容未完全显示，载有与项目明显无关的错误内容等。部分工作底稿中现场访谈的受访人姓名不全、无受访人员亲笔签名、访谈日期错误。</w:t>
      </w:r>
    </w:p>
    <w:p>
      <w:pPr>
        <w:overflowPunct w:val="0"/>
        <w:adjustRightInd w:val="0"/>
        <w:snapToGrid w:val="0"/>
        <w:spacing w:beforeLines="0" w:afterLines="0" w:line="336" w:lineRule="auto"/>
        <w:ind w:firstLine="64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上述执业行为不符合《资产评估基本准则》第三十一条、《资产评估执业准则——资产评估程序</w:t>
      </w:r>
      <w:r>
        <w:rPr>
          <w:rFonts w:hint="eastAsia" w:ascii="仿宋_GB2312" w:hAnsi="仿宋_GB2312" w:eastAsia="仿宋_GB2312" w:cs="仿宋_GB2312"/>
          <w:color w:val="auto"/>
          <w:kern w:val="0"/>
          <w:sz w:val="32"/>
          <w:szCs w:val="32"/>
          <w:highlight w:val="none"/>
          <w:lang w:val="en-US" w:eastAsia="zh-CN"/>
        </w:rPr>
        <w:t>》第五条、第十二条和《资产评估执业准则</w:t>
      </w:r>
      <w:r>
        <w:rPr>
          <w:rFonts w:hint="eastAsia" w:ascii="仿宋_GB2312" w:hAnsi="仿宋_GB2312" w:eastAsia="仿宋_GB2312" w:cs="仿宋_GB2312"/>
          <w:b w:val="0"/>
          <w:bCs w:val="0"/>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资产评估档案》第七条的规定。</w:t>
      </w:r>
    </w:p>
    <w:p>
      <w:pPr>
        <w:overflowPunct w:val="0"/>
        <w:adjustRightInd w:val="0"/>
        <w:snapToGrid w:val="0"/>
        <w:spacing w:beforeLines="0" w:afterLines="0" w:line="336" w:lineRule="auto"/>
        <w:ind w:firstLine="64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中威正信的上述行为违反了《上市公司重大资产重组管理办法》（证监会令第</w:t>
      </w:r>
      <w:r>
        <w:rPr>
          <w:rFonts w:hint="default" w:ascii="仿宋_GB2312" w:hAnsi="仿宋_GB2312" w:eastAsia="仿宋_GB2312" w:cs="仿宋_GB2312"/>
          <w:color w:val="auto"/>
          <w:kern w:val="0"/>
          <w:sz w:val="32"/>
          <w:szCs w:val="32"/>
          <w:highlight w:val="none"/>
          <w:lang w:val="en" w:eastAsia="zh-CN"/>
        </w:rPr>
        <w:t>166</w:t>
      </w:r>
      <w:r>
        <w:rPr>
          <w:rFonts w:hint="eastAsia" w:ascii="仿宋_GB2312" w:hAnsi="仿宋_GB2312" w:eastAsia="仿宋_GB2312" w:cs="仿宋_GB2312"/>
          <w:color w:val="auto"/>
          <w:kern w:val="0"/>
          <w:sz w:val="32"/>
          <w:szCs w:val="32"/>
          <w:highlight w:val="none"/>
          <w:lang w:val="en-US" w:eastAsia="zh-CN"/>
        </w:rPr>
        <w:t>号）第十七条第四款和《上市公司信息披露管理办法》（证监会令第182号）第四十七条的规定。</w:t>
      </w:r>
      <w:r>
        <w:rPr>
          <w:rFonts w:hint="eastAsia" w:ascii="仿宋_GB2312" w:hAnsi="仿宋_GB2312" w:eastAsia="仿宋_GB2312" w:cs="Times New Roman"/>
          <w:color w:val="auto"/>
          <w:spacing w:val="0"/>
          <w:kern w:val="0"/>
          <w:sz w:val="32"/>
          <w:lang w:val="en-US" w:eastAsia="zh-CN"/>
        </w:rPr>
        <w:t>刘小军、吴彩格作为项目签字评估师对上述违规行为负有主要责任。</w:t>
      </w:r>
      <w:r>
        <w:rPr>
          <w:rFonts w:hint="eastAsia" w:ascii="仿宋_GB2312" w:hAnsi="仿宋_GB2312" w:eastAsia="仿宋_GB2312" w:cs="仿宋_GB2312"/>
          <w:color w:val="auto"/>
          <w:kern w:val="0"/>
          <w:sz w:val="32"/>
          <w:szCs w:val="32"/>
          <w:highlight w:val="none"/>
          <w:lang w:val="en-US" w:eastAsia="zh-CN"/>
        </w:rPr>
        <w:t>根据《上市公司重大资产重组管理办法》（证监会令第</w:t>
      </w:r>
      <w:r>
        <w:rPr>
          <w:rFonts w:hint="default" w:ascii="仿宋_GB2312" w:hAnsi="仿宋_GB2312" w:eastAsia="仿宋_GB2312" w:cs="仿宋_GB2312"/>
          <w:color w:val="auto"/>
          <w:kern w:val="0"/>
          <w:sz w:val="32"/>
          <w:szCs w:val="32"/>
          <w:highlight w:val="none"/>
          <w:lang w:val="en" w:eastAsia="zh-CN"/>
        </w:rPr>
        <w:t>166</w:t>
      </w:r>
      <w:r>
        <w:rPr>
          <w:rFonts w:hint="eastAsia" w:ascii="仿宋_GB2312" w:hAnsi="仿宋_GB2312" w:eastAsia="仿宋_GB2312" w:cs="仿宋_GB2312"/>
          <w:color w:val="auto"/>
          <w:kern w:val="0"/>
          <w:sz w:val="32"/>
          <w:szCs w:val="32"/>
          <w:highlight w:val="none"/>
          <w:lang w:val="en-US" w:eastAsia="zh-CN"/>
        </w:rPr>
        <w:t>号）第五十八条和《上市公司信息披露管理办法》（证监会令第182号）第五十五条的规定，我局决定对你们采取出具警示函的行政监管措施。</w:t>
      </w:r>
    </w:p>
    <w:p>
      <w:pPr>
        <w:overflowPunct w:val="0"/>
        <w:adjustRightInd w:val="0"/>
        <w:snapToGrid w:val="0"/>
        <w:spacing w:beforeLines="0" w:afterLines="0" w:line="336" w:lineRule="auto"/>
        <w:ind w:firstLine="64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如果对本监管措施不服，可以在收到本决定书之日起60日内向中国证券监督管理委员会提出行政复议申请，也可以在收到本决定书之日起6个月内向有管辖权的人民法院提起诉讼。复议与诉讼期间，上述监管措施不停止执行。</w:t>
      </w:r>
    </w:p>
    <w:p>
      <w:pPr>
        <w:widowControl w:val="0"/>
        <w:overflowPunct w:val="0"/>
        <w:snapToGrid w:val="0"/>
        <w:spacing w:line="360" w:lineRule="auto"/>
        <w:jc w:val="both"/>
        <w:rPr>
          <w:rFonts w:hint="eastAsia" w:ascii="仿宋_GB2312" w:hAnsi="仿宋_GB2312" w:eastAsia="仿宋_GB2312" w:cs="仿宋_GB2312"/>
          <w:color w:val="auto"/>
          <w:kern w:val="2"/>
          <w:sz w:val="21"/>
          <w:szCs w:val="21"/>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1"/>
          <w:szCs w:val="21"/>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1"/>
          <w:szCs w:val="21"/>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szCs w:val="20"/>
        </w:rPr>
      </w:pPr>
      <w:r>
        <w:rPr>
          <w:rFonts w:hint="eastAsia" w:ascii="仿宋_GB2312" w:hAnsi="Times New Roman" w:eastAsia="仿宋_GB2312" w:cs="Times New Roman"/>
          <w:color w:val="000000"/>
          <w:sz w:val="32"/>
          <w:szCs w:val="20"/>
        </w:rPr>
        <w:t>广东证监局</w:t>
      </w:r>
    </w:p>
    <w:p>
      <w:pPr>
        <w:numPr>
          <w:ilvl w:val="0"/>
          <w:numId w:val="0"/>
        </w:numPr>
        <w:pBdr>
          <w:top w:val="none" w:color="auto" w:sz="0" w:space="0"/>
          <w:bottom w:val="none" w:color="auto" w:sz="0" w:space="0"/>
        </w:pBdr>
        <w:overflowPunct w:val="0"/>
        <w:adjustRightInd w:val="0"/>
        <w:snapToGrid w:val="0"/>
        <w:spacing w:beforeLines="0" w:afterLines="0" w:line="360" w:lineRule="auto"/>
        <w:jc w:val="center"/>
        <w:outlineLvl w:val="9"/>
        <w:rPr>
          <w:rFonts w:ascii="Times New Roman" w:hAnsi="Times New Roman" w:eastAsia="宋体" w:cs="Times New Roman"/>
          <w:szCs w:val="20"/>
        </w:rPr>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5</w:t>
      </w:r>
      <w:r>
        <w:rPr>
          <w:rFonts w:hint="eastAsia" w:ascii="仿宋_GB2312" w:hAnsi="Times New Roman" w:eastAsia="仿宋_GB2312" w:cs="Times New Roman"/>
          <w:color w:val="000000"/>
          <w:spacing w:val="10"/>
          <w:sz w:val="32"/>
          <w:szCs w:val="32"/>
        </w:rPr>
        <w:t>年</w:t>
      </w:r>
      <w:r>
        <w:rPr>
          <w:rFonts w:hint="default" w:ascii="仿宋_GB2312" w:hAnsi="Times New Roman" w:eastAsia="仿宋_GB2312" w:cs="Times New Roman"/>
          <w:color w:val="000000"/>
          <w:spacing w:val="10"/>
          <w:sz w:val="32"/>
          <w:szCs w:val="32"/>
          <w:lang w:val="en-US" w:eastAsia="zh-CN"/>
        </w:rPr>
        <w:t>7</w:t>
      </w:r>
      <w:r>
        <w:rPr>
          <w:rFonts w:hint="eastAsia" w:ascii="仿宋_GB2312" w:hAnsi="Times New Roman" w:eastAsia="仿宋_GB2312" w:cs="Times New Roman"/>
          <w:color w:val="000000"/>
          <w:spacing w:val="10"/>
          <w:sz w:val="32"/>
          <w:szCs w:val="32"/>
        </w:rPr>
        <w:t>月</w:t>
      </w:r>
      <w:r>
        <w:rPr>
          <w:rFonts w:hint="default" w:ascii="仿宋_GB2312" w:hAnsi="Times New Roman" w:eastAsia="仿宋_GB2312" w:cs="Times New Roman"/>
          <w:color w:val="000000"/>
          <w:spacing w:val="10"/>
          <w:sz w:val="32"/>
          <w:szCs w:val="32"/>
          <w:lang w:val="en-US"/>
        </w:rPr>
        <w:t>28</w:t>
      </w:r>
      <w:r>
        <w:rPr>
          <w:rFonts w:hint="eastAsia" w:ascii="仿宋_GB2312" w:hAnsi="Times New Roman" w:eastAsia="仿宋_GB2312" w:cs="Times New Roman"/>
          <w:color w:val="000000"/>
          <w:spacing w:val="10"/>
          <w:sz w:val="32"/>
          <w:szCs w:val="32"/>
        </w:rPr>
        <w:t>日</w:t>
      </w:r>
    </w:p>
    <w:p>
      <w:pPr>
        <w:keepNext w:val="0"/>
        <w:keepLines w:val="0"/>
        <w:widowControl/>
        <w:suppressLineNumbers w:val="0"/>
        <w:snapToGrid w:val="0"/>
        <w:spacing w:line="360" w:lineRule="auto"/>
        <w:jc w:val="left"/>
        <w:rPr>
          <w:rFonts w:hint="eastAsia" w:ascii="仿宋_GB2312" w:hAnsi="仿宋_GB2312" w:eastAsia="仿宋_GB2312" w:cs="仿宋_GB2312"/>
          <w:sz w:val="32"/>
          <w:szCs w:val="32"/>
          <w:lang w:val="en-US" w:eastAsia="zh-CN"/>
        </w:rPr>
      </w:pPr>
    </w:p>
    <w:p>
      <w:pPr>
        <w:adjustRightInd w:val="0"/>
        <w:snapToGrid w:val="0"/>
        <w:spacing w:line="360" w:lineRule="auto"/>
        <w:jc w:val="left"/>
        <w:rPr>
          <w:rFonts w:hint="eastAsia" w:ascii="黑体" w:eastAsia="黑体"/>
          <w:spacing w:val="8"/>
          <w:sz w:val="32"/>
          <w:szCs w:val="32"/>
        </w:rPr>
      </w:pPr>
    </w:p>
    <w:p>
      <w:pPr>
        <w:adjustRightInd w:val="0"/>
        <w:snapToGrid w:val="0"/>
        <w:spacing w:line="360" w:lineRule="auto"/>
        <w:jc w:val="left"/>
        <w:rPr>
          <w:rFonts w:hint="eastAsia" w:ascii="黑体" w:eastAsia="黑体"/>
          <w:spacing w:val="8"/>
          <w:sz w:val="32"/>
          <w:szCs w:val="32"/>
        </w:rPr>
      </w:pPr>
    </w:p>
    <w:p>
      <w:pPr>
        <w:keepNext w:val="0"/>
        <w:keepLines w:val="0"/>
        <w:widowControl/>
        <w:suppressLineNumbers w:val="0"/>
        <w:snapToGrid w:val="0"/>
        <w:spacing w:line="360" w:lineRule="auto"/>
        <w:jc w:val="left"/>
        <w:rPr>
          <w:rFonts w:hint="eastAsia" w:ascii="仿宋_GB2312" w:hAnsi="仿宋_GB2312" w:eastAsia="仿宋_GB2312" w:cs="仿宋_GB2312"/>
          <w:sz w:val="32"/>
          <w:szCs w:val="32"/>
          <w:lang w:val="en-US" w:eastAsia="zh-CN"/>
        </w:rPr>
      </w:pPr>
    </w:p>
    <w:p>
      <w:pPr>
        <w:adjustRightInd w:val="0"/>
        <w:snapToGrid w:val="0"/>
        <w:spacing w:line="360" w:lineRule="auto"/>
        <w:jc w:val="left"/>
        <w:rPr>
          <w:rFonts w:hint="eastAsia" w:ascii="黑体" w:eastAsia="黑体"/>
          <w:spacing w:val="8"/>
          <w:sz w:val="32"/>
          <w:szCs w:val="32"/>
        </w:rPr>
      </w:pPr>
    </w:p>
    <w:p>
      <w:pPr>
        <w:adjustRightInd w:val="0"/>
        <w:snapToGrid w:val="0"/>
        <w:spacing w:line="360" w:lineRule="auto"/>
        <w:jc w:val="left"/>
        <w:rPr>
          <w:rFonts w:hint="eastAsia" w:ascii="黑体" w:eastAsia="黑体"/>
          <w:spacing w:val="8"/>
          <w:sz w:val="32"/>
          <w:szCs w:val="32"/>
        </w:rPr>
      </w:pPr>
    </w:p>
    <w:p>
      <w:pPr>
        <w:keepNext w:val="0"/>
        <w:keepLines w:val="0"/>
        <w:widowControl/>
        <w:suppressLineNumbers w:val="0"/>
        <w:snapToGrid w:val="0"/>
        <w:spacing w:line="360" w:lineRule="auto"/>
        <w:jc w:val="left"/>
        <w:rPr>
          <w:rFonts w:hint="eastAsia" w:ascii="仿宋_GB2312" w:hAnsi="仿宋_GB2312" w:eastAsia="仿宋_GB2312" w:cs="仿宋_GB2312"/>
          <w:sz w:val="32"/>
          <w:szCs w:val="32"/>
          <w:lang w:val="en-US" w:eastAsia="zh-CN"/>
        </w:rPr>
      </w:pPr>
    </w:p>
    <w:p>
      <w:pPr>
        <w:adjustRightInd w:val="0"/>
        <w:snapToGrid w:val="0"/>
        <w:spacing w:line="360" w:lineRule="auto"/>
        <w:jc w:val="left"/>
        <w:rPr>
          <w:rFonts w:hint="eastAsia" w:ascii="黑体" w:eastAsia="黑体"/>
          <w:spacing w:val="8"/>
          <w:sz w:val="32"/>
          <w:szCs w:val="32"/>
        </w:rPr>
      </w:pPr>
    </w:p>
    <w:p>
      <w:pPr>
        <w:adjustRightInd w:val="0"/>
        <w:snapToGrid w:val="0"/>
        <w:spacing w:line="360" w:lineRule="auto"/>
        <w:jc w:val="left"/>
        <w:rPr>
          <w:rFonts w:hint="eastAsia" w:ascii="黑体" w:eastAsia="黑体"/>
          <w:spacing w:val="8"/>
          <w:sz w:val="32"/>
          <w:szCs w:val="32"/>
        </w:rPr>
      </w:pPr>
    </w:p>
    <w:p>
      <w:pPr>
        <w:adjustRightInd w:val="0"/>
        <w:snapToGrid w:val="0"/>
        <w:spacing w:line="360" w:lineRule="auto"/>
        <w:jc w:val="left"/>
        <w:rPr>
          <w:rFonts w:hint="eastAsia" w:ascii="黑体" w:eastAsia="黑体"/>
          <w:spacing w:val="8"/>
          <w:sz w:val="32"/>
          <w:szCs w:val="32"/>
        </w:rPr>
      </w:pPr>
    </w:p>
    <w:p>
      <w:pPr>
        <w:adjustRightInd w:val="0"/>
        <w:snapToGrid w:val="0"/>
        <w:spacing w:line="360" w:lineRule="auto"/>
        <w:jc w:val="left"/>
        <w:rPr>
          <w:rFonts w:hint="eastAsia" w:ascii="黑体" w:eastAsia="黑体"/>
          <w:spacing w:val="8"/>
          <w:sz w:val="32"/>
          <w:szCs w:val="32"/>
        </w:rPr>
      </w:pPr>
    </w:p>
    <w:p>
      <w:pPr>
        <w:keepNext w:val="0"/>
        <w:keepLines w:val="0"/>
        <w:widowControl/>
        <w:suppressLineNumbers w:val="0"/>
        <w:snapToGrid w:val="0"/>
        <w:spacing w:line="360" w:lineRule="auto"/>
        <w:jc w:val="left"/>
        <w:rPr>
          <w:rFonts w:hint="eastAsia" w:ascii="仿宋_GB2312" w:hAnsi="仿宋_GB2312" w:eastAsia="仿宋_GB2312" w:cs="仿宋_GB2312"/>
          <w:sz w:val="32"/>
          <w:szCs w:val="32"/>
          <w:lang w:val="en-US" w:eastAsia="zh-CN"/>
        </w:rPr>
      </w:pPr>
    </w:p>
    <w:p>
      <w:pPr>
        <w:keepNext w:val="0"/>
        <w:keepLines w:val="0"/>
        <w:widowControl/>
        <w:suppressLineNumbers w:val="0"/>
        <w:snapToGrid w:val="0"/>
        <w:spacing w:line="360" w:lineRule="auto"/>
        <w:jc w:val="left"/>
        <w:rPr>
          <w:rFonts w:hint="eastAsia" w:ascii="仿宋_GB2312" w:hAnsi="仿宋_GB2312" w:eastAsia="仿宋_GB2312" w:cs="仿宋_GB2312"/>
          <w:sz w:val="32"/>
          <w:szCs w:val="32"/>
          <w:lang w:val="en-US" w:eastAsia="zh-CN"/>
        </w:rPr>
      </w:pPr>
    </w:p>
    <w:p>
      <w:pPr>
        <w:keepNext w:val="0"/>
        <w:keepLines w:val="0"/>
        <w:widowControl/>
        <w:suppressLineNumbers w:val="0"/>
        <w:snapToGrid w:val="0"/>
        <w:spacing w:line="360" w:lineRule="auto"/>
        <w:jc w:val="left"/>
        <w:rPr>
          <w:rFonts w:hint="eastAsia" w:ascii="仿宋_GB2312" w:hAnsi="仿宋_GB2312" w:eastAsia="仿宋_GB2312" w:cs="仿宋_GB2312"/>
          <w:sz w:val="32"/>
          <w:szCs w:val="32"/>
          <w:lang w:val="en-US" w:eastAsia="zh-CN"/>
        </w:rPr>
      </w:pPr>
    </w:p>
    <w:p>
      <w:pPr>
        <w:keepNext w:val="0"/>
        <w:keepLines w:val="0"/>
        <w:widowControl/>
        <w:suppressLineNumbers w:val="0"/>
        <w:snapToGrid w:val="0"/>
        <w:spacing w:line="360" w:lineRule="auto"/>
        <w:jc w:val="left"/>
        <w:rPr>
          <w:rFonts w:hint="eastAsia" w:ascii="仿宋_GB2312" w:hAnsi="仿宋_GB2312" w:eastAsia="仿宋_GB2312" w:cs="仿宋_GB2312"/>
          <w:sz w:val="32"/>
          <w:szCs w:val="32"/>
          <w:lang w:val="en-US" w:eastAsia="zh-CN"/>
        </w:rPr>
      </w:pPr>
    </w:p>
    <w:p>
      <w:pPr>
        <w:keepNext w:val="0"/>
        <w:keepLines w:val="0"/>
        <w:widowControl/>
        <w:suppressLineNumbers w:val="0"/>
        <w:snapToGrid w:val="0"/>
        <w:spacing w:line="360" w:lineRule="auto"/>
        <w:jc w:val="lef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pPr>
        <w:snapToGrid w:val="0"/>
        <w:spacing w:line="240" w:lineRule="auto"/>
        <w:ind w:right="28"/>
        <w:jc w:val="left"/>
        <w:rPr>
          <w:rFonts w:hint="eastAsia" w:ascii="黑体" w:eastAsia="黑体"/>
          <w:spacing w:val="8"/>
          <w:sz w:val="32"/>
          <w:szCs w:val="32"/>
        </w:rPr>
      </w:pPr>
    </w:p>
    <w:p>
      <w:pPr>
        <w:pBdr>
          <w:top w:val="single" w:color="auto" w:sz="8" w:space="6"/>
        </w:pBdr>
        <w:adjustRightInd w:val="0"/>
        <w:snapToGrid w:val="0"/>
        <w:spacing w:after="109" w:afterLines="35" w:line="240" w:lineRule="auto"/>
        <w:ind w:firstLine="302" w:firstLineChars="100"/>
        <w:rPr>
          <w:rFonts w:ascii="长城仿宋" w:eastAsia="长城仿宋"/>
          <w:spacing w:val="11"/>
          <w:sz w:val="28"/>
        </w:rPr>
      </w:pPr>
      <w:r>
        <w:rPr>
          <w:rFonts w:hint="eastAsia" w:ascii="仿宋_GB2312" w:eastAsia="仿宋_GB2312"/>
          <w:spacing w:val="11"/>
          <w:sz w:val="28"/>
        </w:rPr>
        <w:t>抄送：证监会会计司、稽查局、法治司；北京证监局。</w:t>
      </w:r>
    </w:p>
    <w:p>
      <w:pPr>
        <w:pBdr>
          <w:top w:val="single" w:color="auto" w:sz="4" w:space="6"/>
        </w:pBdr>
        <w:adjustRightInd w:val="0"/>
        <w:snapToGrid w:val="0"/>
        <w:spacing w:after="109" w:afterLines="35" w:line="240" w:lineRule="auto"/>
        <w:ind w:firstLine="318"/>
        <w:jc w:val="left"/>
        <w:rPr>
          <w:rFonts w:hint="eastAsia" w:ascii="仿宋_GB2312" w:eastAsia="仿宋_GB2312"/>
          <w:spacing w:val="8"/>
          <w:sz w:val="28"/>
        </w:rPr>
      </w:pPr>
      <w:r>
        <w:rPr>
          <w:rFonts w:hint="eastAsia" w:ascii="仿宋_GB2312" w:eastAsia="仿宋_GB2312"/>
          <w:spacing w:val="8"/>
          <w:sz w:val="28"/>
        </w:rPr>
        <w:t xml:space="preserve">广东证监局办公室        </w:t>
      </w:r>
      <w:r>
        <w:rPr>
          <w:rFonts w:hint="eastAsia" w:ascii="仿宋_GB2312" w:eastAsia="仿宋_GB2312"/>
          <w:spacing w:val="8"/>
          <w:sz w:val="28"/>
          <w:lang w:val="en-US" w:eastAsia="zh-CN"/>
        </w:rPr>
        <w:t xml:space="preserve">  </w:t>
      </w:r>
      <w:r>
        <w:rPr>
          <w:rFonts w:hint="eastAsia" w:ascii="仿宋_GB2312" w:eastAsia="仿宋_GB2312"/>
          <w:spacing w:val="8"/>
          <w:sz w:val="28"/>
        </w:rPr>
        <w:t xml:space="preserve">   </w:t>
      </w:r>
      <w:r>
        <w:rPr>
          <w:rFonts w:hint="eastAsia" w:ascii="仿宋_GB2312" w:eastAsia="仿宋_GB2312"/>
          <w:spacing w:val="8"/>
          <w:sz w:val="28"/>
          <w:lang w:val="en-US" w:eastAsia="zh-CN"/>
        </w:rPr>
        <w:t xml:space="preserve"> </w:t>
      </w:r>
      <w:r>
        <w:rPr>
          <w:rFonts w:hint="default" w:ascii="仿宋_GB2312" w:eastAsia="仿宋_GB2312"/>
          <w:spacing w:val="8"/>
          <w:sz w:val="28"/>
          <w:lang w:val="en-US"/>
        </w:rPr>
        <w:t xml:space="preserve"> </w:t>
      </w:r>
      <w:r>
        <w:rPr>
          <w:rFonts w:hint="eastAsia" w:ascii="仿宋_GB2312" w:eastAsia="仿宋_GB2312"/>
          <w:spacing w:val="8"/>
          <w:sz w:val="28"/>
          <w:lang w:val="en-US" w:eastAsia="zh-CN"/>
        </w:rPr>
        <w:t xml:space="preserve">    </w:t>
      </w:r>
      <w:r>
        <w:rPr>
          <w:rFonts w:hint="eastAsia" w:ascii="仿宋_GB2312" w:eastAsia="仿宋_GB2312"/>
          <w:spacing w:val="8"/>
          <w:sz w:val="28"/>
          <w:lang w:eastAsia="zh-CN"/>
        </w:rPr>
        <w:t>20</w:t>
      </w:r>
      <w:r>
        <w:rPr>
          <w:rFonts w:hint="eastAsia" w:ascii="仿宋_GB2312" w:eastAsia="仿宋_GB2312"/>
          <w:spacing w:val="8"/>
          <w:sz w:val="28"/>
          <w:lang w:val="en-US" w:eastAsia="zh-CN"/>
        </w:rPr>
        <w:t>25</w:t>
      </w:r>
      <w:r>
        <w:rPr>
          <w:rFonts w:hint="eastAsia" w:ascii="仿宋_GB2312" w:eastAsia="仿宋_GB2312"/>
          <w:spacing w:val="8"/>
          <w:sz w:val="28"/>
        </w:rPr>
        <w:t>年</w:t>
      </w:r>
      <w:r>
        <w:rPr>
          <w:rFonts w:hint="default" w:ascii="仿宋_GB2312" w:eastAsia="仿宋_GB2312"/>
          <w:spacing w:val="8"/>
          <w:sz w:val="28"/>
          <w:lang w:val="en-US" w:eastAsia="zh-CN"/>
        </w:rPr>
        <w:t>7</w:t>
      </w:r>
      <w:r>
        <w:rPr>
          <w:rFonts w:hint="eastAsia" w:ascii="仿宋_GB2312" w:eastAsia="仿宋_GB2312"/>
          <w:spacing w:val="8"/>
          <w:sz w:val="28"/>
        </w:rPr>
        <w:t>月</w:t>
      </w:r>
      <w:r>
        <w:rPr>
          <w:rFonts w:hint="default" w:ascii="仿宋_GB2312" w:eastAsia="仿宋_GB2312"/>
          <w:spacing w:val="8"/>
          <w:sz w:val="28"/>
          <w:lang w:val="en-US" w:eastAsia="zh-CN"/>
        </w:rPr>
        <w:t>28</w:t>
      </w:r>
      <w:r>
        <w:rPr>
          <w:rFonts w:hint="eastAsia" w:ascii="仿宋_GB2312" w:eastAsia="仿宋_GB2312"/>
          <w:spacing w:val="8"/>
          <w:sz w:val="28"/>
        </w:rPr>
        <w:t>日印发</w:t>
      </w:r>
    </w:p>
    <w:p>
      <w:pPr>
        <w:pBdr>
          <w:top w:val="single" w:color="auto" w:sz="8" w:space="7"/>
        </w:pBdr>
        <w:overflowPunct w:val="0"/>
        <w:bidi w:val="0"/>
        <w:adjustRightInd w:val="0"/>
        <w:snapToGrid w:val="0"/>
        <w:spacing w:beforeLines="0" w:after="0" w:afterLines="0" w:line="240" w:lineRule="auto"/>
        <w:ind w:firstLine="0"/>
        <w:jc w:val="left"/>
        <w:rPr>
          <w:rFonts w:hint="default" w:ascii="仿宋_GB2312" w:eastAsia="仿宋_GB2312"/>
          <w:spacing w:val="8"/>
          <w:sz w:val="2"/>
          <w:szCs w:val="2"/>
          <w:lang w:val="en-US" w:eastAsia="zh-CN"/>
        </w:rPr>
      </w:pPr>
    </w:p>
    <w:p>
      <w:pPr>
        <w:snapToGrid w:val="0"/>
        <w:spacing w:beforeLines="0" w:afterLines="0"/>
        <w:rPr>
          <w:sz w:val="2"/>
          <w:szCs w:val="2"/>
        </w:rPr>
      </w:pPr>
    </w:p>
    <w:bookmarkEnd w:id="0"/>
    <w:p>
      <w:pPr>
        <w:snapToGrid w:val="0"/>
        <w:spacing w:beforeLines="0" w:afterLines="0"/>
        <w:rPr>
          <w:sz w:val="2"/>
          <w:szCs w:val="2"/>
        </w:rPr>
      </w:pPr>
    </w:p>
    <w:sectPr>
      <w:headerReference r:id="rId3" w:type="default"/>
      <w:footerReference r:id="rId4" w:type="default"/>
      <w:pgSz w:w="11906" w:h="16838"/>
      <w:pgMar w:top="2097" w:right="1474" w:bottom="1984"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Web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长城仿宋">
    <w:altName w:val="方正仿宋_GBK"/>
    <w:panose1 w:val="02010609000101010101"/>
    <w:charset w:val="00"/>
    <w:family w:val="auto"/>
    <w:pitch w:val="default"/>
    <w:sig w:usb0="00000000" w:usb1="00000000" w:usb2="00000010" w:usb3="00000000" w:csb0="00040000" w:csb1="00000000"/>
  </w:font>
  <w:font w:name="方正仿宋_GBK">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revisionView w:markup="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E0B8A"/>
    <w:rsid w:val="33FE0B8A"/>
    <w:rsid w:val="3BF6AD9F"/>
    <w:rsid w:val="5BFFC133"/>
    <w:rsid w:val="6BDFF964"/>
    <w:rsid w:val="7A3D0E13"/>
    <w:rsid w:val="7AF7E884"/>
    <w:rsid w:val="7DFBD4A0"/>
    <w:rsid w:val="7EDF81CD"/>
    <w:rsid w:val="847D55F6"/>
    <w:rsid w:val="CDFB0033"/>
    <w:rsid w:val="D7F42DF6"/>
    <w:rsid w:val="EF07241C"/>
    <w:rsid w:val="EFBFC2E3"/>
    <w:rsid w:val="EFEFB8B3"/>
    <w:rsid w:val="FEF93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spacing w:line="240" w:lineRule="auto"/>
      <w:ind w:firstLine="420"/>
      <w:jc w:val="both"/>
      <w:textAlignment w:val="baseline"/>
    </w:pPr>
    <w:rPr>
      <w:rFonts w:ascii="宋体" w:hAnsi="Calibri"/>
      <w:kern w:val="0"/>
      <w:sz w:val="21"/>
      <w:szCs w:val="24"/>
      <w:lang w:val="en-US" w:eastAsia="zh-CN" w:bidi="ar-SA"/>
    </w:r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Char Char Char Char Char 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2025-07-18T17:53:00Z</dcterms:created>
  <dc:creator>陈思奇</dc:creator>
  <cp:lastModifiedBy>陈思奇</cp:lastModifiedBy>
  <dcterms:modified xsi:type="dcterms:W3CDTF">2025-09-08T13:57:30Z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01BF2FD5E7E2871AAC9B7968695D588D</vt:lpwstr>
  </property>
</Properties>
</file>