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EC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14:paraId="67A55D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8</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15</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8</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21</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14:paraId="7526669F">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sz w:val="28"/>
          <w:szCs w:val="28"/>
        </w:rPr>
      </w:pPr>
    </w:p>
    <w:p w14:paraId="6BEFC60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3家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14:paraId="35AD58E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alibri" w:hAnsi="Calibri" w:eastAsia="CESI仿宋-GB2312" w:cs="CESI仿宋-GB2312"/>
          <w:sz w:val="32"/>
          <w:szCs w:val="32"/>
          <w:lang w:val="en-US" w:eastAsia="zh-CN"/>
        </w:rPr>
      </w:pPr>
      <w:r>
        <w:rPr>
          <w:rFonts w:hint="eastAsia" w:ascii="黑体" w:hAnsi="黑体" w:eastAsia="黑体" w:cs="黑体"/>
          <w:sz w:val="32"/>
          <w:szCs w:val="32"/>
          <w:lang w:val="en-US" w:eastAsia="zh-CN"/>
        </w:rPr>
        <w:t>力达科技（秘交转公开）</w:t>
      </w:r>
    </w:p>
    <w:p w14:paraId="12B3DF8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036F730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你公司股权控制架构设立的合规性，包括但不限于搭建和返程投资涉及的各境内自然人、外商投资企业履行外汇管理、境外投资、外商投资等监管程序的具体情况，是否符合《关于外国投资者并购境内企业的规定》。</w:t>
      </w:r>
    </w:p>
    <w:p w14:paraId="1C5F8D7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二、力达科技持有固定污染源排污登记资质，请说明已建、在建、拟建项目是否属于“高耗能”、“高排放”项目。</w:t>
      </w:r>
    </w:p>
    <w:p w14:paraId="44B5901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三、你公司特别表决权运行期限、持有人资格、股份锁定安排及转让限制，以及可能导致的控制权变更等相关风险及对公司治理的影响。</w:t>
      </w:r>
    </w:p>
    <w:p w14:paraId="0707A18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四、你公司与</w:t>
      </w:r>
      <w:r>
        <w:rPr>
          <w:rFonts w:hint="default" w:ascii="Times New Roman" w:hAnsi="Times New Roman" w:eastAsia="仿宋_GB2312"/>
          <w:sz w:val="32"/>
          <w:szCs w:val="32"/>
          <w:highlight w:val="none"/>
          <w:lang w:val="en-US" w:eastAsia="zh-CN"/>
        </w:rPr>
        <w:t>SPAC</w:t>
      </w:r>
      <w:r>
        <w:rPr>
          <w:rFonts w:hint="default" w:ascii="CESI仿宋-GB2312" w:hAnsi="CESI仿宋-GB2312" w:eastAsia="CESI仿宋-GB2312" w:cs="CESI仿宋-GB2312"/>
          <w:sz w:val="32"/>
          <w:szCs w:val="32"/>
          <w:lang w:val="en-US" w:eastAsia="zh-CN"/>
        </w:rPr>
        <w:t>主体间的资产收购及重组的具体方式和情况，以及按照《关于非居民企业间接转让财产企业所得税若干问题的公告》的相关规定进行税务申报缴纳情况。</w:t>
      </w:r>
    </w:p>
    <w:p w14:paraId="3DB4C39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杰华特</w:t>
      </w:r>
    </w:p>
    <w:p w14:paraId="5DD7096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2D02377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一、关于发行人基本情况：（</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）请说明发行人前身设立至整体变更为股份有限公司期间的历史沿革，并就期间历次股权变动是否合法合规出具明确结论性意见；（</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）请对照《监管规则适用指引——境外发行上市类第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号》有关规定，说明发行人股本中国有股份相关情况。</w:t>
      </w:r>
    </w:p>
    <w:p w14:paraId="0489ED4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二、关于发行人境外子公司，请说明：（</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）杰华特香港有限设立的具体情况和披露情况；（</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）杰华特香港有限未履行境外投资备案程序和外汇登记程序不属于重大违法违规行为的明确依据；（</w:t>
      </w:r>
      <w:r>
        <w:rPr>
          <w:rFonts w:hint="default" w:ascii="Times New Roman" w:hAnsi="Times New Roman" w:eastAsia="仿宋_GB2312"/>
          <w:sz w:val="32"/>
          <w:szCs w:val="32"/>
          <w:highlight w:val="none"/>
          <w:lang w:val="en-US" w:eastAsia="zh-CN"/>
        </w:rPr>
        <w:t>3</w:t>
      </w:r>
      <w:r>
        <w:rPr>
          <w:rFonts w:hint="default" w:ascii="CESI仿宋-GB2312" w:hAnsi="CESI仿宋-GB2312" w:eastAsia="CESI仿宋-GB2312" w:cs="CESI仿宋-GB2312"/>
          <w:sz w:val="32"/>
          <w:szCs w:val="32"/>
          <w:lang w:val="en-US" w:eastAsia="zh-CN"/>
        </w:rPr>
        <w:t>）杰华特香港有限注销进展情况。</w:t>
      </w:r>
    </w:p>
    <w:p w14:paraId="497635D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三、请说明发行人及下属公司经营范围和实际业务经营是否涉及《外商投资准入特别管理措施（负面清单）（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年版）》外资禁止或限制准入领域。</w:t>
      </w:r>
    </w:p>
    <w:p w14:paraId="3BCE83A3">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极易科技</w:t>
      </w:r>
    </w:p>
    <w:p w14:paraId="2A96863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7FF02CD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一、请你公司严格对照《境内企业境外发行证券和上市管理试行办法》第八条的规定，补充说明是否存在境外发行上市禁止性情形。</w:t>
      </w:r>
    </w:p>
    <w:p w14:paraId="6497AF5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二、请对照《监管规则适用指引——第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号》补充说明南京极晟上层投资人的基本情况。</w:t>
      </w:r>
    </w:p>
    <w:p w14:paraId="782364B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三、请补充说明：（</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你公司苏州尚来激励计划、苏州易卖有为激励计划、苏州极易大展激励计划、极易小满激励计划、极易领航激励计划的具体人员构成、变化及任职情况，参与人员与你公司其他股东、董事、监事、高级管理人员是否存在关联关系，以及是否存在预留权益；（</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）你公司苏州尚来激励计划、苏州易卖有为激励计划、苏州极易大展激励计划以及极易领航激励计划的激励份额授予价格明显低于极易小满激励计划的原因，是否存在利益输送的情形；（</w:t>
      </w:r>
      <w:r>
        <w:rPr>
          <w:rFonts w:hint="default" w:ascii="Times New Roman" w:hAnsi="Times New Roman" w:eastAsia="仿宋_GB2312"/>
          <w:sz w:val="32"/>
          <w:szCs w:val="32"/>
          <w:highlight w:val="none"/>
          <w:lang w:val="en-US" w:eastAsia="zh-CN"/>
        </w:rPr>
        <w:t>3</w:t>
      </w:r>
      <w:r>
        <w:rPr>
          <w:rFonts w:hint="default" w:ascii="CESI仿宋-GB2312" w:hAnsi="CESI仿宋-GB2312" w:eastAsia="CESI仿宋-GB2312" w:cs="CESI仿宋-GB2312"/>
          <w:sz w:val="32"/>
          <w:szCs w:val="32"/>
          <w:lang w:val="en-US" w:eastAsia="zh-CN"/>
        </w:rPr>
        <w:t>）你公司苏州易卖有为激励计划、苏州极易大展激励计划于</w:t>
      </w:r>
      <w:r>
        <w:rPr>
          <w:rFonts w:hint="default" w:ascii="Times New Roman" w:hAnsi="Times New Roman" w:eastAsia="仿宋_GB2312"/>
          <w:sz w:val="32"/>
          <w:szCs w:val="32"/>
          <w:highlight w:val="none"/>
          <w:lang w:val="en-US" w:eastAsia="zh-CN"/>
        </w:rPr>
        <w:t>2020</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12</w:t>
      </w:r>
      <w:r>
        <w:rPr>
          <w:rFonts w:hint="default" w:ascii="CESI仿宋-GB2312" w:hAnsi="CESI仿宋-GB2312" w:eastAsia="CESI仿宋-GB2312" w:cs="CESI仿宋-GB2312"/>
          <w:sz w:val="32"/>
          <w:szCs w:val="32"/>
          <w:lang w:val="en-US" w:eastAsia="zh-CN"/>
        </w:rPr>
        <w:t>月制定，但于</w:t>
      </w:r>
      <w:r>
        <w:rPr>
          <w:rFonts w:hint="default" w:ascii="Times New Roman" w:hAnsi="Times New Roman" w:eastAsia="仿宋_GB2312"/>
          <w:sz w:val="32"/>
          <w:szCs w:val="32"/>
          <w:highlight w:val="none"/>
          <w:lang w:val="en-US" w:eastAsia="zh-CN"/>
        </w:rPr>
        <w:t>2025</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4</w:t>
      </w:r>
      <w:r>
        <w:rPr>
          <w:rFonts w:hint="default" w:ascii="CESI仿宋-GB2312" w:hAnsi="CESI仿宋-GB2312" w:eastAsia="CESI仿宋-GB2312" w:cs="CESI仿宋-GB2312"/>
          <w:sz w:val="32"/>
          <w:szCs w:val="32"/>
          <w:lang w:val="en-US" w:eastAsia="zh-CN"/>
        </w:rPr>
        <w:t>月履行决策程序的原因，延迟履行决策程序是否合规。</w:t>
      </w:r>
    </w:p>
    <w:p w14:paraId="3D41B4F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四、请补充说明全额行使超额配售权的情况下，你公司本次境外发行及“全流通”前后股权架构的变化情况。</w:t>
      </w:r>
    </w:p>
    <w:p w14:paraId="5422D7E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补充说明你公司及下属公司经营范围内包含增值电信业务、市场调查等的具体情况，是否实际开展相关业务及具体运营情况，是否已取得必要的资质许可，经营范围及实际业务是否涉及限制或禁止外商投资领域。本次发行上市及“全流通”后是否持续符合外商投资准入要求。</w:t>
      </w:r>
    </w:p>
    <w:p w14:paraId="1EB181D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六、请补充说明：（</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）结合你公司客户及供应商情况，详细说明你公司业务运营模式；（</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）你公司广告投放服务的具体运营模式；（</w:t>
      </w:r>
      <w:r>
        <w:rPr>
          <w:rFonts w:hint="default" w:ascii="Times New Roman" w:hAnsi="Times New Roman" w:eastAsia="仿宋_GB2312"/>
          <w:sz w:val="32"/>
          <w:szCs w:val="32"/>
          <w:highlight w:val="none"/>
          <w:lang w:val="en-US" w:eastAsia="zh-CN"/>
        </w:rPr>
        <w:t>3</w:t>
      </w:r>
      <w:r>
        <w:rPr>
          <w:rFonts w:hint="default" w:ascii="CESI仿宋-GB2312" w:hAnsi="CESI仿宋-GB2312" w:eastAsia="CESI仿宋-GB2312" w:cs="CESI仿宋-GB2312"/>
          <w:sz w:val="32"/>
          <w:szCs w:val="32"/>
          <w:lang w:val="en-US" w:eastAsia="zh-CN"/>
        </w:rPr>
        <w:t>）你公司开展跨境电子商务零售进口业务的合规</w:t>
      </w:r>
      <w:r>
        <w:rPr>
          <w:rFonts w:hint="eastAsia" w:ascii="CESI仿宋-GB2312" w:hAnsi="CESI仿宋-GB2312" w:eastAsia="CESI仿宋-GB2312" w:cs="CESI仿宋-GB2312"/>
          <w:sz w:val="32"/>
          <w:szCs w:val="32"/>
          <w:lang w:val="en-US" w:eastAsia="zh-CN"/>
        </w:rPr>
        <w:t>情况</w:t>
      </w:r>
      <w:r>
        <w:rPr>
          <w:rFonts w:hint="default"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4</w:t>
      </w:r>
      <w:r>
        <w:rPr>
          <w:rFonts w:hint="default" w:ascii="CESI仿宋-GB2312" w:hAnsi="CESI仿宋-GB2312" w:eastAsia="CESI仿宋-GB2312" w:cs="CESI仿宋-GB2312"/>
          <w:sz w:val="32"/>
          <w:szCs w:val="32"/>
          <w:lang w:val="en-US" w:eastAsia="zh-CN"/>
        </w:rPr>
        <w:t>）你公司同行业可比公司的名称及具体情况。</w:t>
      </w:r>
    </w:p>
    <w:p w14:paraId="09962CB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七、请补充说明你公司及下属公司是否涉及开发、运营网站、小程序、</w:t>
      </w:r>
      <w:r>
        <w:rPr>
          <w:rFonts w:hint="default" w:ascii="Times New Roman" w:hAnsi="Times New Roman" w:eastAsia="仿宋_GB2312"/>
          <w:sz w:val="32"/>
          <w:szCs w:val="32"/>
          <w:highlight w:val="none"/>
          <w:lang w:val="en-US" w:eastAsia="zh-CN"/>
        </w:rPr>
        <w:t>APP</w:t>
      </w:r>
      <w:bookmarkStart w:id="0" w:name="_GoBack"/>
      <w:bookmarkEnd w:id="0"/>
      <w:r>
        <w:rPr>
          <w:rFonts w:hint="default" w:ascii="CESI仿宋-GB2312" w:hAnsi="CESI仿宋-GB2312" w:eastAsia="CESI仿宋-GB2312" w:cs="CESI仿宋-GB2312"/>
          <w:sz w:val="32"/>
          <w:szCs w:val="32"/>
          <w:lang w:val="en-US" w:eastAsia="zh-CN"/>
        </w:rPr>
        <w:t>、公众号等产品，是否涉及向第三方提供信息内容，提供信息内容的类型以及信息内容安全保护措施；同时说明收集及储存的用户信息规模、数据收集使用情况，上市前后个人信息保护和数据安全的安排或措施。</w:t>
      </w:r>
    </w:p>
    <w:p w14:paraId="68F331A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八、请补充说明本次拟参与“全流通”股东所持股份是否存在被质押、冻结或其他权利瑕疵的情形。</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00"/>
    <w:family w:val="auto"/>
    <w:pitch w:val="default"/>
    <w:sig w:usb0="00000000" w:usb1="00000000" w:usb2="00000016" w:usb3="00000000" w:csb0="00040001"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Symbola">
    <w:panose1 w:val="02020503060805020204"/>
    <w:charset w:val="00"/>
    <w:family w:val="auto"/>
    <w:pitch w:val="default"/>
    <w:sig w:usb0="E00002FF" w:usb1="4200FFFF" w:usb2="0F040021" w:usb3="0580A068" w:csb0="6000019F" w:csb1="DFD70000"/>
  </w:font>
  <w:font w:name="方正仿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80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77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EDE5C2B"/>
    <w:rsid w:val="0FF78455"/>
    <w:rsid w:val="0FF9EF93"/>
    <w:rsid w:val="171F6771"/>
    <w:rsid w:val="17F333E4"/>
    <w:rsid w:val="17FD84BC"/>
    <w:rsid w:val="185C7EE9"/>
    <w:rsid w:val="18FD6BD6"/>
    <w:rsid w:val="19FF753F"/>
    <w:rsid w:val="1AEB49DD"/>
    <w:rsid w:val="1B66F069"/>
    <w:rsid w:val="1BBF3550"/>
    <w:rsid w:val="1BEB3E34"/>
    <w:rsid w:val="1D4B0807"/>
    <w:rsid w:val="1F7A47D6"/>
    <w:rsid w:val="1F7F633E"/>
    <w:rsid w:val="1FBE3D57"/>
    <w:rsid w:val="1FDFED82"/>
    <w:rsid w:val="21BB4486"/>
    <w:rsid w:val="221A9202"/>
    <w:rsid w:val="2453322D"/>
    <w:rsid w:val="255DE78B"/>
    <w:rsid w:val="25BED2A4"/>
    <w:rsid w:val="25ED5C0C"/>
    <w:rsid w:val="273ACB1E"/>
    <w:rsid w:val="27ACE030"/>
    <w:rsid w:val="291D2AE2"/>
    <w:rsid w:val="29FF12F0"/>
    <w:rsid w:val="2AF4F5B0"/>
    <w:rsid w:val="2B7AAE73"/>
    <w:rsid w:val="2BB37EEA"/>
    <w:rsid w:val="2C8F9EF0"/>
    <w:rsid w:val="2CBF98A1"/>
    <w:rsid w:val="2CFFC09F"/>
    <w:rsid w:val="2E63AAAF"/>
    <w:rsid w:val="2EBF36B2"/>
    <w:rsid w:val="2FB7720B"/>
    <w:rsid w:val="2FD96C99"/>
    <w:rsid w:val="2FED94B0"/>
    <w:rsid w:val="2FF5E8BD"/>
    <w:rsid w:val="2FFB93B4"/>
    <w:rsid w:val="2FFE7ADD"/>
    <w:rsid w:val="332FD987"/>
    <w:rsid w:val="33FD4772"/>
    <w:rsid w:val="33FF0EAD"/>
    <w:rsid w:val="33FF9C5F"/>
    <w:rsid w:val="351E34E4"/>
    <w:rsid w:val="355FF2F3"/>
    <w:rsid w:val="35B33B6C"/>
    <w:rsid w:val="35BD5691"/>
    <w:rsid w:val="36FFC8F1"/>
    <w:rsid w:val="37FE54D4"/>
    <w:rsid w:val="37FFA508"/>
    <w:rsid w:val="395F23BC"/>
    <w:rsid w:val="397FAC8B"/>
    <w:rsid w:val="39CF5566"/>
    <w:rsid w:val="39EBA98D"/>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660D"/>
    <w:rsid w:val="3FDFBDE7"/>
    <w:rsid w:val="3FE914D8"/>
    <w:rsid w:val="3FF3B4EB"/>
    <w:rsid w:val="3FF61804"/>
    <w:rsid w:val="3FF77D9F"/>
    <w:rsid w:val="3FF79F26"/>
    <w:rsid w:val="3FFD15DE"/>
    <w:rsid w:val="3FFF5109"/>
    <w:rsid w:val="3FFFF175"/>
    <w:rsid w:val="40ABFD97"/>
    <w:rsid w:val="43BF1CD8"/>
    <w:rsid w:val="43F7B792"/>
    <w:rsid w:val="4424A0AE"/>
    <w:rsid w:val="457C5809"/>
    <w:rsid w:val="467EA25A"/>
    <w:rsid w:val="46FB3128"/>
    <w:rsid w:val="47FC3E76"/>
    <w:rsid w:val="47FD554F"/>
    <w:rsid w:val="4AFC1F7C"/>
    <w:rsid w:val="4BDF6884"/>
    <w:rsid w:val="4BE753ED"/>
    <w:rsid w:val="4DFCCF35"/>
    <w:rsid w:val="4F67EC1C"/>
    <w:rsid w:val="4F78B548"/>
    <w:rsid w:val="4F7EDC3A"/>
    <w:rsid w:val="4F7EF74C"/>
    <w:rsid w:val="4F9F7159"/>
    <w:rsid w:val="4FD555C3"/>
    <w:rsid w:val="4FF50376"/>
    <w:rsid w:val="52C92FE1"/>
    <w:rsid w:val="537B2CCB"/>
    <w:rsid w:val="537FE4CB"/>
    <w:rsid w:val="53AF762D"/>
    <w:rsid w:val="53F9EC31"/>
    <w:rsid w:val="53FD0B5F"/>
    <w:rsid w:val="53FF4AD4"/>
    <w:rsid w:val="56732FAB"/>
    <w:rsid w:val="56DEE44E"/>
    <w:rsid w:val="575F59D4"/>
    <w:rsid w:val="577F03F8"/>
    <w:rsid w:val="57AF7DA0"/>
    <w:rsid w:val="59DE6059"/>
    <w:rsid w:val="59EAA982"/>
    <w:rsid w:val="59FDEF05"/>
    <w:rsid w:val="5B3A80D2"/>
    <w:rsid w:val="5B55A5DE"/>
    <w:rsid w:val="5BEDCB94"/>
    <w:rsid w:val="5BFEEAF0"/>
    <w:rsid w:val="5C6FE5EC"/>
    <w:rsid w:val="5CFD5408"/>
    <w:rsid w:val="5D1E63DC"/>
    <w:rsid w:val="5DABF72F"/>
    <w:rsid w:val="5DBF46AA"/>
    <w:rsid w:val="5DCFAB01"/>
    <w:rsid w:val="5DF2DD93"/>
    <w:rsid w:val="5DF77268"/>
    <w:rsid w:val="5EF3E0D8"/>
    <w:rsid w:val="5EF7CBD7"/>
    <w:rsid w:val="5EFEF32F"/>
    <w:rsid w:val="5EFF8778"/>
    <w:rsid w:val="5EFFDB80"/>
    <w:rsid w:val="5F615CA1"/>
    <w:rsid w:val="5F7EEB54"/>
    <w:rsid w:val="5FBAC526"/>
    <w:rsid w:val="5FBD0436"/>
    <w:rsid w:val="5FBEF08F"/>
    <w:rsid w:val="5FCD0B34"/>
    <w:rsid w:val="5FD3A9A2"/>
    <w:rsid w:val="5FD3AB61"/>
    <w:rsid w:val="5FDB20A7"/>
    <w:rsid w:val="5FDB7E01"/>
    <w:rsid w:val="5FDC53C6"/>
    <w:rsid w:val="5FDFCA51"/>
    <w:rsid w:val="5FEEB703"/>
    <w:rsid w:val="5FEF654F"/>
    <w:rsid w:val="5FFB43CC"/>
    <w:rsid w:val="5FFD31C3"/>
    <w:rsid w:val="5FFED4F7"/>
    <w:rsid w:val="608FE4EF"/>
    <w:rsid w:val="629DC7F8"/>
    <w:rsid w:val="63FB1B6C"/>
    <w:rsid w:val="63FFEDC6"/>
    <w:rsid w:val="64221F00"/>
    <w:rsid w:val="64D87F31"/>
    <w:rsid w:val="65DFB200"/>
    <w:rsid w:val="65FD047C"/>
    <w:rsid w:val="675B46D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EF1441"/>
    <w:rsid w:val="6DF9CA8A"/>
    <w:rsid w:val="6E76E49E"/>
    <w:rsid w:val="6E7B572D"/>
    <w:rsid w:val="6F2E1A35"/>
    <w:rsid w:val="6F3BF003"/>
    <w:rsid w:val="6F3CEBE0"/>
    <w:rsid w:val="6F63236F"/>
    <w:rsid w:val="6F6D7C76"/>
    <w:rsid w:val="6F6F30D8"/>
    <w:rsid w:val="6F77AED1"/>
    <w:rsid w:val="6FB7BF97"/>
    <w:rsid w:val="6FBD3D00"/>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CF90D9"/>
    <w:rsid w:val="73DEA937"/>
    <w:rsid w:val="73FEEA08"/>
    <w:rsid w:val="73FF2041"/>
    <w:rsid w:val="73FF3BBD"/>
    <w:rsid w:val="73FF9036"/>
    <w:rsid w:val="745FCC1D"/>
    <w:rsid w:val="74FBFD6F"/>
    <w:rsid w:val="75794409"/>
    <w:rsid w:val="759E100F"/>
    <w:rsid w:val="75AFF9B6"/>
    <w:rsid w:val="75E209CB"/>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306"/>
    <w:rsid w:val="777FE4E5"/>
    <w:rsid w:val="778F929E"/>
    <w:rsid w:val="779B5637"/>
    <w:rsid w:val="77BA5007"/>
    <w:rsid w:val="77BB2612"/>
    <w:rsid w:val="77EB68C6"/>
    <w:rsid w:val="77F63C38"/>
    <w:rsid w:val="77F7265A"/>
    <w:rsid w:val="77FDDFEE"/>
    <w:rsid w:val="77FEFAD1"/>
    <w:rsid w:val="77FF032B"/>
    <w:rsid w:val="77FF0AD3"/>
    <w:rsid w:val="77FF3978"/>
    <w:rsid w:val="77FF6C3B"/>
    <w:rsid w:val="77FF90FF"/>
    <w:rsid w:val="77FFC8CB"/>
    <w:rsid w:val="77FFDC5B"/>
    <w:rsid w:val="78DFC3FA"/>
    <w:rsid w:val="78F73F22"/>
    <w:rsid w:val="797A2F6C"/>
    <w:rsid w:val="798BAA92"/>
    <w:rsid w:val="79BF3A2D"/>
    <w:rsid w:val="79D538E0"/>
    <w:rsid w:val="79FBA84A"/>
    <w:rsid w:val="79FF9C64"/>
    <w:rsid w:val="79FF9EB5"/>
    <w:rsid w:val="7A679CA7"/>
    <w:rsid w:val="7A6E21A3"/>
    <w:rsid w:val="7A7C278B"/>
    <w:rsid w:val="7ADFF88D"/>
    <w:rsid w:val="7AFCF9F8"/>
    <w:rsid w:val="7AFDCF84"/>
    <w:rsid w:val="7AFE641E"/>
    <w:rsid w:val="7AFEA724"/>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7E87A"/>
    <w:rsid w:val="7BFBBAFC"/>
    <w:rsid w:val="7BFD7C89"/>
    <w:rsid w:val="7BFDE2F9"/>
    <w:rsid w:val="7BFF2CFD"/>
    <w:rsid w:val="7BFF2EBE"/>
    <w:rsid w:val="7BFFAB07"/>
    <w:rsid w:val="7C6A234D"/>
    <w:rsid w:val="7CBA4E74"/>
    <w:rsid w:val="7CBBAF00"/>
    <w:rsid w:val="7CBC4E39"/>
    <w:rsid w:val="7CBF9F3A"/>
    <w:rsid w:val="7CF6C0A0"/>
    <w:rsid w:val="7CF7E1EF"/>
    <w:rsid w:val="7CF9FD3E"/>
    <w:rsid w:val="7D6F0DCC"/>
    <w:rsid w:val="7D70285C"/>
    <w:rsid w:val="7D7F1013"/>
    <w:rsid w:val="7D7FE6EC"/>
    <w:rsid w:val="7DA1927B"/>
    <w:rsid w:val="7DBF0E00"/>
    <w:rsid w:val="7DBFD159"/>
    <w:rsid w:val="7DD98CE9"/>
    <w:rsid w:val="7DDFE5A8"/>
    <w:rsid w:val="7DEE8249"/>
    <w:rsid w:val="7DEFD2A7"/>
    <w:rsid w:val="7DF35C97"/>
    <w:rsid w:val="7DFA5EB4"/>
    <w:rsid w:val="7DFE8840"/>
    <w:rsid w:val="7DFF6F21"/>
    <w:rsid w:val="7E5C34B7"/>
    <w:rsid w:val="7E772135"/>
    <w:rsid w:val="7E8FE8CD"/>
    <w:rsid w:val="7EAAFBC1"/>
    <w:rsid w:val="7EB8C5C1"/>
    <w:rsid w:val="7EBF9F84"/>
    <w:rsid w:val="7EDB28BC"/>
    <w:rsid w:val="7EDE3C4C"/>
    <w:rsid w:val="7EDEF023"/>
    <w:rsid w:val="7EEF45C6"/>
    <w:rsid w:val="7EF7F140"/>
    <w:rsid w:val="7EFD3653"/>
    <w:rsid w:val="7EFDDD58"/>
    <w:rsid w:val="7EFF0BB3"/>
    <w:rsid w:val="7EFFA2BF"/>
    <w:rsid w:val="7F1D2CA1"/>
    <w:rsid w:val="7F3948BB"/>
    <w:rsid w:val="7F3ED46F"/>
    <w:rsid w:val="7F4F01E0"/>
    <w:rsid w:val="7F5F7E4C"/>
    <w:rsid w:val="7F6256A8"/>
    <w:rsid w:val="7F799961"/>
    <w:rsid w:val="7F7B1B05"/>
    <w:rsid w:val="7F7BD5CC"/>
    <w:rsid w:val="7F7E81B4"/>
    <w:rsid w:val="7F7F2DDA"/>
    <w:rsid w:val="7F7FA5A3"/>
    <w:rsid w:val="7F7FDEB3"/>
    <w:rsid w:val="7F7FE25F"/>
    <w:rsid w:val="7F7FEEDD"/>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F3EEC"/>
    <w:rsid w:val="7FDFDBA0"/>
    <w:rsid w:val="7FE58FF7"/>
    <w:rsid w:val="7FE67113"/>
    <w:rsid w:val="7FE7F3E7"/>
    <w:rsid w:val="7FE8BEE1"/>
    <w:rsid w:val="7FED3050"/>
    <w:rsid w:val="7FED8308"/>
    <w:rsid w:val="7FEFA0C2"/>
    <w:rsid w:val="7FF01D11"/>
    <w:rsid w:val="7FF7769A"/>
    <w:rsid w:val="7FF7DCF2"/>
    <w:rsid w:val="7FF89EF2"/>
    <w:rsid w:val="7FFDC7FA"/>
    <w:rsid w:val="7FFFAE8B"/>
    <w:rsid w:val="7FFFB123"/>
    <w:rsid w:val="7FFFC4C4"/>
    <w:rsid w:val="7FFFCE12"/>
    <w:rsid w:val="7FFFF313"/>
    <w:rsid w:val="8E1F765E"/>
    <w:rsid w:val="8F728CFC"/>
    <w:rsid w:val="8FF7DE57"/>
    <w:rsid w:val="8FFF5C48"/>
    <w:rsid w:val="97FAADA5"/>
    <w:rsid w:val="97FF31FE"/>
    <w:rsid w:val="9A5B76D0"/>
    <w:rsid w:val="9B339AF2"/>
    <w:rsid w:val="9BE33342"/>
    <w:rsid w:val="9CFFFE03"/>
    <w:rsid w:val="9DBEE900"/>
    <w:rsid w:val="9DFD1896"/>
    <w:rsid w:val="9E6782C0"/>
    <w:rsid w:val="9EBED305"/>
    <w:rsid w:val="9EFF6EE9"/>
    <w:rsid w:val="9F7370FE"/>
    <w:rsid w:val="9FA346E3"/>
    <w:rsid w:val="9FDED63D"/>
    <w:rsid w:val="9FFF061C"/>
    <w:rsid w:val="9FFFF6A4"/>
    <w:rsid w:val="A2BE69C2"/>
    <w:rsid w:val="A7636F25"/>
    <w:rsid w:val="A7667E3B"/>
    <w:rsid w:val="AAEC6413"/>
    <w:rsid w:val="AB5FD59D"/>
    <w:rsid w:val="AB7F36E3"/>
    <w:rsid w:val="ABE5C066"/>
    <w:rsid w:val="ACB750D5"/>
    <w:rsid w:val="ADDF0B6F"/>
    <w:rsid w:val="AE3D304F"/>
    <w:rsid w:val="AE7A6A90"/>
    <w:rsid w:val="AF5D9140"/>
    <w:rsid w:val="AF8F56D0"/>
    <w:rsid w:val="AFDF8E1C"/>
    <w:rsid w:val="AFFBD211"/>
    <w:rsid w:val="B1F9A0F1"/>
    <w:rsid w:val="B22742D2"/>
    <w:rsid w:val="B379C565"/>
    <w:rsid w:val="B3EECBF7"/>
    <w:rsid w:val="B3EF337F"/>
    <w:rsid w:val="B4FBEE68"/>
    <w:rsid w:val="B57BAFA9"/>
    <w:rsid w:val="B5DDA490"/>
    <w:rsid w:val="B5F37F97"/>
    <w:rsid w:val="B67B4C77"/>
    <w:rsid w:val="B6F5EA92"/>
    <w:rsid w:val="B71E635B"/>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2FB838"/>
    <w:rsid w:val="BD3B417B"/>
    <w:rsid w:val="BDADC548"/>
    <w:rsid w:val="BDFB1227"/>
    <w:rsid w:val="BE4F8AA4"/>
    <w:rsid w:val="BE6F8DDC"/>
    <w:rsid w:val="BE75A388"/>
    <w:rsid w:val="BE7DE541"/>
    <w:rsid w:val="BEAD8650"/>
    <w:rsid w:val="BEC57CB7"/>
    <w:rsid w:val="BED571C1"/>
    <w:rsid w:val="BEDF4EA3"/>
    <w:rsid w:val="BEF31206"/>
    <w:rsid w:val="BEFB11D2"/>
    <w:rsid w:val="BEFF429B"/>
    <w:rsid w:val="BF3B0C95"/>
    <w:rsid w:val="BF5F1AE9"/>
    <w:rsid w:val="BF6D8282"/>
    <w:rsid w:val="BF7511AB"/>
    <w:rsid w:val="BF7F7484"/>
    <w:rsid w:val="BFA631D0"/>
    <w:rsid w:val="BFAFDEA2"/>
    <w:rsid w:val="BFB7475C"/>
    <w:rsid w:val="BFB7EF86"/>
    <w:rsid w:val="BFBF4015"/>
    <w:rsid w:val="BFBF625C"/>
    <w:rsid w:val="BFBFCD53"/>
    <w:rsid w:val="BFC95E37"/>
    <w:rsid w:val="BFD5D952"/>
    <w:rsid w:val="BFDBFE4C"/>
    <w:rsid w:val="BFDDA89D"/>
    <w:rsid w:val="BFDEFE84"/>
    <w:rsid w:val="BFDF0EC3"/>
    <w:rsid w:val="BFE75957"/>
    <w:rsid w:val="BFEBA850"/>
    <w:rsid w:val="BFEF7422"/>
    <w:rsid w:val="BFF434F6"/>
    <w:rsid w:val="BFF92596"/>
    <w:rsid w:val="BFFB9147"/>
    <w:rsid w:val="BFFF360C"/>
    <w:rsid w:val="BFFF5208"/>
    <w:rsid w:val="C5DD63A1"/>
    <w:rsid w:val="C7F72922"/>
    <w:rsid w:val="CB5A82CA"/>
    <w:rsid w:val="CBD695B1"/>
    <w:rsid w:val="CBD7963E"/>
    <w:rsid w:val="CBF741DF"/>
    <w:rsid w:val="CD3790F8"/>
    <w:rsid w:val="CDB6DE81"/>
    <w:rsid w:val="CDFAF5B4"/>
    <w:rsid w:val="CF6F1FEB"/>
    <w:rsid w:val="CF6FD68A"/>
    <w:rsid w:val="CF850594"/>
    <w:rsid w:val="CFBE415F"/>
    <w:rsid w:val="CFE39D61"/>
    <w:rsid w:val="CFEFC41B"/>
    <w:rsid w:val="CFFD5964"/>
    <w:rsid w:val="D28FCB53"/>
    <w:rsid w:val="D2AEFD39"/>
    <w:rsid w:val="D38F5BB0"/>
    <w:rsid w:val="D3FE6116"/>
    <w:rsid w:val="D47E7E86"/>
    <w:rsid w:val="D4DA6222"/>
    <w:rsid w:val="D4EFDF5B"/>
    <w:rsid w:val="D57C06C7"/>
    <w:rsid w:val="D5BFE35E"/>
    <w:rsid w:val="D5FDA202"/>
    <w:rsid w:val="D637E125"/>
    <w:rsid w:val="D67F3187"/>
    <w:rsid w:val="D6C54BFB"/>
    <w:rsid w:val="D779B982"/>
    <w:rsid w:val="D77FCA6E"/>
    <w:rsid w:val="D7A30320"/>
    <w:rsid w:val="D7BF209D"/>
    <w:rsid w:val="D7BF4320"/>
    <w:rsid w:val="D7F63F18"/>
    <w:rsid w:val="D7FF0922"/>
    <w:rsid w:val="D7FF11B6"/>
    <w:rsid w:val="D8DF347D"/>
    <w:rsid w:val="D8FF48EA"/>
    <w:rsid w:val="DA477FC9"/>
    <w:rsid w:val="DA7D2610"/>
    <w:rsid w:val="DA8FAA4D"/>
    <w:rsid w:val="DAF51FDC"/>
    <w:rsid w:val="DB3B6D81"/>
    <w:rsid w:val="DBE7F07D"/>
    <w:rsid w:val="DBEBCCFD"/>
    <w:rsid w:val="DBF404C9"/>
    <w:rsid w:val="DCBB517A"/>
    <w:rsid w:val="DCFC869C"/>
    <w:rsid w:val="DD3F851F"/>
    <w:rsid w:val="DDA34FEF"/>
    <w:rsid w:val="DDE7B892"/>
    <w:rsid w:val="DDEDD0F3"/>
    <w:rsid w:val="DDEF9463"/>
    <w:rsid w:val="DDFE5719"/>
    <w:rsid w:val="DEDF0579"/>
    <w:rsid w:val="DEE9BD96"/>
    <w:rsid w:val="DEEE49F4"/>
    <w:rsid w:val="DEFD4576"/>
    <w:rsid w:val="DEFDBADA"/>
    <w:rsid w:val="DEFF8C55"/>
    <w:rsid w:val="DF57E490"/>
    <w:rsid w:val="DF7ECD6C"/>
    <w:rsid w:val="DFAFAA8F"/>
    <w:rsid w:val="DFB77093"/>
    <w:rsid w:val="DFBA9CF4"/>
    <w:rsid w:val="DFBB2C2A"/>
    <w:rsid w:val="DFCD5F7D"/>
    <w:rsid w:val="DFD9E41F"/>
    <w:rsid w:val="DFE5A22D"/>
    <w:rsid w:val="DFE60B53"/>
    <w:rsid w:val="DFE624D7"/>
    <w:rsid w:val="DFE717B9"/>
    <w:rsid w:val="DFE7E878"/>
    <w:rsid w:val="DFEF17C0"/>
    <w:rsid w:val="DFF77525"/>
    <w:rsid w:val="E3277C0C"/>
    <w:rsid w:val="E3A3D90B"/>
    <w:rsid w:val="E3FF6143"/>
    <w:rsid w:val="E67F38E5"/>
    <w:rsid w:val="E6F5CD7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BF7FDDA"/>
    <w:rsid w:val="ECEFE2D1"/>
    <w:rsid w:val="ED78A4F9"/>
    <w:rsid w:val="ED7F4B20"/>
    <w:rsid w:val="ED7FEABE"/>
    <w:rsid w:val="ED8EA64C"/>
    <w:rsid w:val="ED8FADDA"/>
    <w:rsid w:val="EDA72A91"/>
    <w:rsid w:val="EDBD09A9"/>
    <w:rsid w:val="EDBFC565"/>
    <w:rsid w:val="EDE59D21"/>
    <w:rsid w:val="EDE77F53"/>
    <w:rsid w:val="EDF530E5"/>
    <w:rsid w:val="EDF5B704"/>
    <w:rsid w:val="EE5B869C"/>
    <w:rsid w:val="EE6F55EF"/>
    <w:rsid w:val="EE713F0E"/>
    <w:rsid w:val="EEDF1829"/>
    <w:rsid w:val="EEDFA629"/>
    <w:rsid w:val="EEE7BB01"/>
    <w:rsid w:val="EEEEA120"/>
    <w:rsid w:val="EEEF1E07"/>
    <w:rsid w:val="EEFB475E"/>
    <w:rsid w:val="EEFBB1C8"/>
    <w:rsid w:val="EF78DD1B"/>
    <w:rsid w:val="EF7E0537"/>
    <w:rsid w:val="EFA5ED1A"/>
    <w:rsid w:val="EFAD22A7"/>
    <w:rsid w:val="EFBFA6BD"/>
    <w:rsid w:val="EFCEC632"/>
    <w:rsid w:val="EFDAA52B"/>
    <w:rsid w:val="EFDFED44"/>
    <w:rsid w:val="EFF373AF"/>
    <w:rsid w:val="EFF489A9"/>
    <w:rsid w:val="EFFBADD8"/>
    <w:rsid w:val="EFFCA10E"/>
    <w:rsid w:val="EFFF6804"/>
    <w:rsid w:val="EFFFD6CB"/>
    <w:rsid w:val="F1789489"/>
    <w:rsid w:val="F24F6B58"/>
    <w:rsid w:val="F2EFC63D"/>
    <w:rsid w:val="F2FD4492"/>
    <w:rsid w:val="F2FF67FB"/>
    <w:rsid w:val="F369CD34"/>
    <w:rsid w:val="F3AE3962"/>
    <w:rsid w:val="F3F7CD72"/>
    <w:rsid w:val="F3FBBB12"/>
    <w:rsid w:val="F3FF76A6"/>
    <w:rsid w:val="F4BFF2C7"/>
    <w:rsid w:val="F4EEF4B8"/>
    <w:rsid w:val="F4FE6FAB"/>
    <w:rsid w:val="F4FFD0CC"/>
    <w:rsid w:val="F55F092F"/>
    <w:rsid w:val="F56F62A3"/>
    <w:rsid w:val="F5DB4A6F"/>
    <w:rsid w:val="F5DDF558"/>
    <w:rsid w:val="F5FD924F"/>
    <w:rsid w:val="F651E89F"/>
    <w:rsid w:val="F65FC488"/>
    <w:rsid w:val="F66FFFBE"/>
    <w:rsid w:val="F6795092"/>
    <w:rsid w:val="F67F1AA1"/>
    <w:rsid w:val="F6DFBBD0"/>
    <w:rsid w:val="F6FF736B"/>
    <w:rsid w:val="F6FF8ABB"/>
    <w:rsid w:val="F76FC05C"/>
    <w:rsid w:val="F77174D9"/>
    <w:rsid w:val="F7736D80"/>
    <w:rsid w:val="F77B17AA"/>
    <w:rsid w:val="F77ED74D"/>
    <w:rsid w:val="F7B3069E"/>
    <w:rsid w:val="F7DE2618"/>
    <w:rsid w:val="F7EFC7DD"/>
    <w:rsid w:val="F7F4DEE9"/>
    <w:rsid w:val="F7FC03B9"/>
    <w:rsid w:val="F7FF8BC6"/>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ACBD0"/>
    <w:rsid w:val="FBFB2C84"/>
    <w:rsid w:val="FBFB2FCA"/>
    <w:rsid w:val="FBFDA5AC"/>
    <w:rsid w:val="FBFE2026"/>
    <w:rsid w:val="FC5FE86C"/>
    <w:rsid w:val="FC649F0B"/>
    <w:rsid w:val="FC6F6A3D"/>
    <w:rsid w:val="FC7B643D"/>
    <w:rsid w:val="FC7FDC4A"/>
    <w:rsid w:val="FCA3081F"/>
    <w:rsid w:val="FCE627D3"/>
    <w:rsid w:val="FCF669A2"/>
    <w:rsid w:val="FD310758"/>
    <w:rsid w:val="FD5F5388"/>
    <w:rsid w:val="FD5FC2CA"/>
    <w:rsid w:val="FD7F35EC"/>
    <w:rsid w:val="FDBFF543"/>
    <w:rsid w:val="FDDA93BB"/>
    <w:rsid w:val="FDDFDF34"/>
    <w:rsid w:val="FDDFFD9A"/>
    <w:rsid w:val="FDFD41F0"/>
    <w:rsid w:val="FDFE9EFA"/>
    <w:rsid w:val="FDFF455E"/>
    <w:rsid w:val="FE398695"/>
    <w:rsid w:val="FE572BBB"/>
    <w:rsid w:val="FE5D8553"/>
    <w:rsid w:val="FE6DAACC"/>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76EF"/>
    <w:rsid w:val="FF17A3A0"/>
    <w:rsid w:val="FF328199"/>
    <w:rsid w:val="FF3522AB"/>
    <w:rsid w:val="FF3EDD41"/>
    <w:rsid w:val="FF533F7B"/>
    <w:rsid w:val="FF5BD2D0"/>
    <w:rsid w:val="FF5F50FC"/>
    <w:rsid w:val="FF73E0BC"/>
    <w:rsid w:val="FF7F5FA5"/>
    <w:rsid w:val="FFAE1255"/>
    <w:rsid w:val="FFAE75CC"/>
    <w:rsid w:val="FFAECE42"/>
    <w:rsid w:val="FFB53F43"/>
    <w:rsid w:val="FFB7A7CF"/>
    <w:rsid w:val="FFB9E6AD"/>
    <w:rsid w:val="FFBB1232"/>
    <w:rsid w:val="FFBE287E"/>
    <w:rsid w:val="FFBF4365"/>
    <w:rsid w:val="FFC6C8AE"/>
    <w:rsid w:val="FFD5AA4B"/>
    <w:rsid w:val="FFD70894"/>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DE60F"/>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2023-12-09T17:34:00Z</dcterms:created>
  <dc:creator>csrc</dc:creator>
  <cp:lastModifiedBy>csrc</cp:lastModifiedBy>
  <dcterms:modified xsi:type="dcterms:W3CDTF">2025-08-22T10:18:35Z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29C874F50C01FB39A4F57968942A96F4_43</vt:lpwstr>
  </property>
</Properties>
</file>